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DA1A6" w14:textId="77777777" w:rsidR="008C61AC" w:rsidRPr="008C61AC" w:rsidRDefault="008C61AC" w:rsidP="008C61AC">
      <w:pPr>
        <w:spacing w:after="0" w:line="240" w:lineRule="auto"/>
        <w:rPr>
          <w:rFonts w:ascii="Arial" w:hAnsi="Arial" w:cs="Arial"/>
          <w:b/>
          <w:bCs/>
          <w:sz w:val="24"/>
          <w:szCs w:val="24"/>
        </w:rPr>
      </w:pPr>
      <w:r w:rsidRPr="008C61AC">
        <w:rPr>
          <w:rFonts w:ascii="Arial" w:hAnsi="Arial" w:cs="Arial"/>
          <w:b/>
          <w:bCs/>
          <w:sz w:val="24"/>
          <w:szCs w:val="24"/>
        </w:rPr>
        <w:t> </w:t>
      </w:r>
    </w:p>
    <w:p w14:paraId="5CC51E3C" w14:textId="77777777" w:rsidR="00034B61" w:rsidRPr="0000234E" w:rsidRDefault="00034B61" w:rsidP="002C3B99">
      <w:pPr>
        <w:spacing w:after="0" w:line="240" w:lineRule="auto"/>
        <w:rPr>
          <w:rFonts w:ascii="Arial" w:hAnsi="Arial" w:cs="Arial"/>
          <w:b/>
          <w:bCs/>
          <w:sz w:val="24"/>
          <w:szCs w:val="24"/>
        </w:rPr>
      </w:pPr>
      <w:r w:rsidRPr="0000234E">
        <w:rPr>
          <w:rFonts w:ascii="Arial" w:hAnsi="Arial" w:cs="Arial"/>
          <w:b/>
          <w:bCs/>
          <w:sz w:val="24"/>
          <w:szCs w:val="24"/>
        </w:rPr>
        <w:t>ESDC Interdepartmental Collaboration and Initiatives Supporting Official Language Minority Communities (OLMC) </w:t>
      </w:r>
    </w:p>
    <w:p w14:paraId="1125D6F7"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73B47C2C"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Objective  </w:t>
      </w:r>
    </w:p>
    <w:p w14:paraId="6E0C97E5"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742C2C64"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xml:space="preserve">To provide an overview of Employment and Social Development Canada’s (ESDC’s) engagement in interdepartmental collaborative initiatives focused on meeting the needs of official language minority communities (OLMCs) and to respect its obligations under the </w:t>
      </w:r>
      <w:r w:rsidRPr="00034B61">
        <w:rPr>
          <w:rFonts w:ascii="Arial" w:hAnsi="Arial" w:cs="Arial"/>
          <w:i/>
          <w:iCs/>
          <w:sz w:val="24"/>
          <w:szCs w:val="24"/>
        </w:rPr>
        <w:t xml:space="preserve">Official Languages Act </w:t>
      </w:r>
      <w:r w:rsidRPr="00034B61">
        <w:rPr>
          <w:rFonts w:ascii="Arial" w:hAnsi="Arial" w:cs="Arial"/>
          <w:sz w:val="24"/>
          <w:szCs w:val="24"/>
        </w:rPr>
        <w:t>(OLA). </w:t>
      </w:r>
    </w:p>
    <w:p w14:paraId="5DAFF070"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41A7D91F"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t>Strategic Context </w:t>
      </w:r>
    </w:p>
    <w:p w14:paraId="5F414B55"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66F3EA3F"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 Government of Canada is committed to building a strong and inclusive Canadian economy that supports job creation, including for OLMCs. Streamlining government operations and reinvesting in the people and businesses that drive economic growth are among its priorities </w:t>
      </w:r>
    </w:p>
    <w:p w14:paraId="366E6215"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43B58862"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 modernization of the OLA has strengthened Part VII (Advancement of Equality of Status and Use of English and French), thereby increasing support for the vitality of OLMCs. Through its employment and social development programs, ESDC actively contributes to these priorities and its obligations under the OLA. </w:t>
      </w:r>
    </w:p>
    <w:p w14:paraId="263DFFC1"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33895506"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OLMCs play an essential role in regional economic vitality, particularly through entrepreneurship, by supporting a bilingual workforce and the creation of economic opportunities in all regions of Canada. Strengthened federal collaboration with OLMCs makes it possible to better respond to their needs and design more inclusive programs. </w:t>
      </w:r>
    </w:p>
    <w:p w14:paraId="368F8CB7"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3C161189"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ESDC works with several federal departments, including Canadian Heritage, Immigration, Refugees and Citizenship Canada (IRCC), Innovation, Science and Economic Development (ISED), and Health Canada, through horizontal initiatives, committees and interdepartmental working groups to advance OLMC issues. </w:t>
      </w:r>
    </w:p>
    <w:p w14:paraId="35AB926E"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121D61C0"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t>ESDC's Contributions to the Action Plan for Official Languages (APOL) 2023-2028 </w:t>
      </w:r>
    </w:p>
    <w:p w14:paraId="0C3BC9C9"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6CB8DEFC"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 2023-2028 APOL provides for investments totalling $4.1 billion, including $1.4 billion in new funding for 32 new or enhanced measures. ESDC contributes to its implementation, including through the management of $394 million across several programs:  </w:t>
      </w:r>
    </w:p>
    <w:p w14:paraId="0B4F67E1" w14:textId="77777777" w:rsidR="00034B61" w:rsidRPr="00034B61" w:rsidRDefault="00034B61" w:rsidP="002C3B99">
      <w:pPr>
        <w:numPr>
          <w:ilvl w:val="0"/>
          <w:numId w:val="7"/>
        </w:numPr>
        <w:spacing w:after="0" w:line="240" w:lineRule="auto"/>
        <w:rPr>
          <w:rFonts w:ascii="Arial" w:hAnsi="Arial" w:cs="Arial"/>
          <w:sz w:val="24"/>
          <w:szCs w:val="24"/>
        </w:rPr>
      </w:pPr>
      <w:r w:rsidRPr="00034B61">
        <w:rPr>
          <w:rFonts w:ascii="Arial" w:hAnsi="Arial" w:cs="Arial"/>
          <w:sz w:val="24"/>
          <w:szCs w:val="24"/>
        </w:rPr>
        <w:t>Enabling Fund for OLMC, including the Employment Assistance Services stream  </w:t>
      </w:r>
    </w:p>
    <w:p w14:paraId="0050DFCF" w14:textId="77777777" w:rsidR="00034B61" w:rsidRPr="00034B61" w:rsidRDefault="00034B61" w:rsidP="002C3B99">
      <w:pPr>
        <w:numPr>
          <w:ilvl w:val="0"/>
          <w:numId w:val="8"/>
        </w:numPr>
        <w:spacing w:after="0" w:line="240" w:lineRule="auto"/>
        <w:rPr>
          <w:rFonts w:ascii="Arial" w:hAnsi="Arial" w:cs="Arial"/>
          <w:sz w:val="24"/>
          <w:szCs w:val="24"/>
        </w:rPr>
      </w:pPr>
      <w:r w:rsidRPr="00034B61">
        <w:rPr>
          <w:rFonts w:ascii="Arial" w:hAnsi="Arial" w:cs="Arial"/>
          <w:sz w:val="24"/>
          <w:szCs w:val="24"/>
        </w:rPr>
        <w:t>Skills for Success with the OLMC Literacy and Essential Skills Initiative  </w:t>
      </w:r>
    </w:p>
    <w:p w14:paraId="39A6BD19" w14:textId="77777777" w:rsidR="00034B61" w:rsidRPr="00034B61" w:rsidRDefault="00034B61" w:rsidP="002C3B99">
      <w:pPr>
        <w:numPr>
          <w:ilvl w:val="0"/>
          <w:numId w:val="9"/>
        </w:numPr>
        <w:spacing w:after="0" w:line="240" w:lineRule="auto"/>
        <w:rPr>
          <w:rFonts w:ascii="Arial" w:hAnsi="Arial" w:cs="Arial"/>
          <w:sz w:val="24"/>
          <w:szCs w:val="24"/>
        </w:rPr>
      </w:pPr>
      <w:r w:rsidRPr="00034B61">
        <w:rPr>
          <w:rFonts w:ascii="Arial" w:hAnsi="Arial" w:cs="Arial"/>
          <w:sz w:val="24"/>
          <w:szCs w:val="24"/>
        </w:rPr>
        <w:t>Early Learning and Child Care in OLMCs </w:t>
      </w:r>
    </w:p>
    <w:p w14:paraId="03F3DE53" w14:textId="676C8076" w:rsidR="00034B61" w:rsidRPr="00547823" w:rsidRDefault="00034B61" w:rsidP="002C3B99">
      <w:pPr>
        <w:numPr>
          <w:ilvl w:val="0"/>
          <w:numId w:val="10"/>
        </w:numPr>
        <w:spacing w:after="0" w:line="240" w:lineRule="auto"/>
        <w:rPr>
          <w:rFonts w:ascii="Arial" w:hAnsi="Arial" w:cs="Arial"/>
          <w:sz w:val="24"/>
          <w:szCs w:val="24"/>
        </w:rPr>
      </w:pPr>
      <w:r w:rsidRPr="00034B61">
        <w:rPr>
          <w:rFonts w:ascii="Arial" w:hAnsi="Arial" w:cs="Arial"/>
          <w:sz w:val="24"/>
          <w:szCs w:val="24"/>
        </w:rPr>
        <w:t>Social Partnership Initiative for OLMCs </w:t>
      </w:r>
    </w:p>
    <w:p w14:paraId="3DA4B5FF"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72E6D90A"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lastRenderedPageBreak/>
        <w:t>Mechanisms for interdepartmental collaboration </w:t>
      </w:r>
    </w:p>
    <w:p w14:paraId="1D2159EF"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2383DEB2"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There are several interdepartmental mechanisms and committees in which ESDC participates to meet its obligations under the OLA. In 2024, two interdepartmental working groups were created to better meet the needs of OLMCs: </w:t>
      </w:r>
    </w:p>
    <w:p w14:paraId="15032756" w14:textId="77777777" w:rsidR="00034B61" w:rsidRPr="00DE6061" w:rsidRDefault="00034B61" w:rsidP="002C3B99">
      <w:pPr>
        <w:numPr>
          <w:ilvl w:val="0"/>
          <w:numId w:val="11"/>
        </w:numPr>
        <w:spacing w:after="0" w:line="240" w:lineRule="auto"/>
        <w:rPr>
          <w:rFonts w:ascii="Arial" w:hAnsi="Arial" w:cs="Arial"/>
          <w:b/>
          <w:bCs/>
          <w:sz w:val="24"/>
          <w:szCs w:val="24"/>
        </w:rPr>
      </w:pPr>
      <w:r w:rsidRPr="00DE6061">
        <w:rPr>
          <w:rFonts w:ascii="Arial" w:hAnsi="Arial" w:cs="Arial"/>
          <w:b/>
          <w:bCs/>
          <w:sz w:val="24"/>
          <w:szCs w:val="24"/>
        </w:rPr>
        <w:t>Interdepartmental Working Group on Labour Needs and Economic Development in OLMC  </w:t>
      </w:r>
    </w:p>
    <w:p w14:paraId="3508CB76" w14:textId="77777777" w:rsidR="00034B61" w:rsidRPr="00034B61" w:rsidRDefault="00034B61" w:rsidP="002C3B99">
      <w:pPr>
        <w:numPr>
          <w:ilvl w:val="0"/>
          <w:numId w:val="12"/>
        </w:numPr>
        <w:spacing w:after="0" w:line="240" w:lineRule="auto"/>
        <w:rPr>
          <w:rFonts w:ascii="Arial" w:hAnsi="Arial" w:cs="Arial"/>
          <w:sz w:val="24"/>
          <w:szCs w:val="24"/>
        </w:rPr>
      </w:pPr>
      <w:r w:rsidRPr="00034B61">
        <w:rPr>
          <w:rFonts w:ascii="Arial" w:hAnsi="Arial" w:cs="Arial"/>
          <w:sz w:val="24"/>
          <w:szCs w:val="24"/>
        </w:rPr>
        <w:t>Committee co-chaired by ESDC and Canadian Heritage </w:t>
      </w:r>
    </w:p>
    <w:p w14:paraId="2D7230B4" w14:textId="77777777" w:rsidR="00034B61" w:rsidRPr="00034B61" w:rsidRDefault="00034B61" w:rsidP="002C3B99">
      <w:pPr>
        <w:numPr>
          <w:ilvl w:val="0"/>
          <w:numId w:val="13"/>
        </w:numPr>
        <w:spacing w:after="0" w:line="240" w:lineRule="auto"/>
        <w:rPr>
          <w:rFonts w:ascii="Arial" w:hAnsi="Arial" w:cs="Arial"/>
          <w:sz w:val="24"/>
          <w:szCs w:val="24"/>
        </w:rPr>
      </w:pPr>
      <w:r w:rsidRPr="00034B61">
        <w:rPr>
          <w:rFonts w:ascii="Arial" w:hAnsi="Arial" w:cs="Arial"/>
          <w:sz w:val="24"/>
          <w:szCs w:val="24"/>
        </w:rPr>
        <w:t>Coordination of positive measures related to labour and economic development based on the needs expressed by OLMCs.  </w:t>
      </w:r>
    </w:p>
    <w:p w14:paraId="10C34422" w14:textId="77777777" w:rsidR="00034B61" w:rsidRPr="00034B61" w:rsidRDefault="00034B61" w:rsidP="002C3B99">
      <w:pPr>
        <w:numPr>
          <w:ilvl w:val="0"/>
          <w:numId w:val="14"/>
        </w:numPr>
        <w:spacing w:after="0" w:line="240" w:lineRule="auto"/>
        <w:rPr>
          <w:rFonts w:ascii="Arial" w:hAnsi="Arial" w:cs="Arial"/>
          <w:sz w:val="24"/>
          <w:szCs w:val="24"/>
        </w:rPr>
      </w:pPr>
      <w:r w:rsidRPr="00034B61">
        <w:rPr>
          <w:rFonts w:ascii="Arial" w:hAnsi="Arial" w:cs="Arial"/>
          <w:sz w:val="24"/>
          <w:szCs w:val="24"/>
        </w:rPr>
        <w:t>Dialogue sessions and engagement with stakeholders, representing English-speaking communities of Quebec (ESCQ) and Francophone minority communities (FMC). </w:t>
      </w:r>
    </w:p>
    <w:p w14:paraId="2E197E8E"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2318DBE3" w14:textId="77777777" w:rsidR="00034B61" w:rsidRPr="00DE6061" w:rsidRDefault="00034B61" w:rsidP="002C3B99">
      <w:pPr>
        <w:numPr>
          <w:ilvl w:val="0"/>
          <w:numId w:val="15"/>
        </w:numPr>
        <w:spacing w:after="0" w:line="240" w:lineRule="auto"/>
        <w:rPr>
          <w:rFonts w:ascii="Arial" w:hAnsi="Arial" w:cs="Arial"/>
          <w:b/>
          <w:bCs/>
          <w:sz w:val="24"/>
          <w:szCs w:val="24"/>
        </w:rPr>
      </w:pPr>
      <w:r w:rsidRPr="00DE6061">
        <w:rPr>
          <w:rFonts w:ascii="Arial" w:hAnsi="Arial" w:cs="Arial"/>
          <w:b/>
          <w:bCs/>
          <w:sz w:val="24"/>
          <w:szCs w:val="24"/>
        </w:rPr>
        <w:t>Interdepartmental Working Group on Restoring the Demographic Weight of Francophones outside of Quebec </w:t>
      </w:r>
    </w:p>
    <w:p w14:paraId="0BB86630" w14:textId="77777777" w:rsidR="00034B61" w:rsidRPr="00034B61" w:rsidRDefault="00034B61" w:rsidP="002C3B99">
      <w:pPr>
        <w:numPr>
          <w:ilvl w:val="0"/>
          <w:numId w:val="16"/>
        </w:numPr>
        <w:spacing w:after="0" w:line="240" w:lineRule="auto"/>
        <w:rPr>
          <w:rFonts w:ascii="Arial" w:hAnsi="Arial" w:cs="Arial"/>
          <w:sz w:val="24"/>
          <w:szCs w:val="24"/>
        </w:rPr>
      </w:pPr>
      <w:r w:rsidRPr="00034B61">
        <w:rPr>
          <w:rFonts w:ascii="Arial" w:hAnsi="Arial" w:cs="Arial"/>
          <w:sz w:val="24"/>
          <w:szCs w:val="24"/>
        </w:rPr>
        <w:t>Committee co-chaired by IRCC and Canadian Heritage </w:t>
      </w:r>
    </w:p>
    <w:p w14:paraId="3C35074B" w14:textId="77777777" w:rsidR="00034B61" w:rsidRPr="00034B61" w:rsidRDefault="00034B61" w:rsidP="002C3B99">
      <w:pPr>
        <w:numPr>
          <w:ilvl w:val="0"/>
          <w:numId w:val="17"/>
        </w:numPr>
        <w:spacing w:after="0" w:line="240" w:lineRule="auto"/>
        <w:rPr>
          <w:rFonts w:ascii="Arial" w:hAnsi="Arial" w:cs="Arial"/>
          <w:sz w:val="24"/>
          <w:szCs w:val="24"/>
        </w:rPr>
      </w:pPr>
      <w:r w:rsidRPr="00034B61">
        <w:rPr>
          <w:rFonts w:ascii="Arial" w:hAnsi="Arial" w:cs="Arial"/>
          <w:sz w:val="24"/>
          <w:szCs w:val="24"/>
        </w:rPr>
        <w:t>Identification of positive measures and federal levers that could have a positive influence on the evolution of the demographic weight of Francophones outside of Quebec, in particular natural increase (including the intergenerational transmission of French), immigration and Francophone mobility, as well as the linguistic attraction of French. </w:t>
      </w:r>
    </w:p>
    <w:p w14:paraId="5965A980" w14:textId="77777777" w:rsidR="00034B61" w:rsidRPr="00034B61" w:rsidRDefault="00034B61" w:rsidP="002C3B99">
      <w:pPr>
        <w:numPr>
          <w:ilvl w:val="0"/>
          <w:numId w:val="18"/>
        </w:numPr>
        <w:spacing w:after="0" w:line="240" w:lineRule="auto"/>
        <w:rPr>
          <w:rFonts w:ascii="Arial" w:hAnsi="Arial" w:cs="Arial"/>
          <w:sz w:val="24"/>
          <w:szCs w:val="24"/>
        </w:rPr>
      </w:pPr>
      <w:r w:rsidRPr="00034B61">
        <w:rPr>
          <w:rFonts w:ascii="Arial" w:hAnsi="Arial" w:cs="Arial"/>
          <w:sz w:val="24"/>
          <w:szCs w:val="24"/>
        </w:rPr>
        <w:t>Dialogue sessions with stakeholders representing FMCs on the factors influencing the demographic weight of Francophones. </w:t>
      </w:r>
    </w:p>
    <w:p w14:paraId="2C248ADD" w14:textId="77777777" w:rsid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1EB2BE7B" w14:textId="77777777" w:rsidR="00D332A3" w:rsidRDefault="00D332A3" w:rsidP="002C3B99">
      <w:pPr>
        <w:spacing w:after="0" w:line="240" w:lineRule="auto"/>
        <w:rPr>
          <w:rFonts w:ascii="Arial" w:hAnsi="Arial" w:cs="Arial"/>
          <w:sz w:val="24"/>
          <w:szCs w:val="24"/>
        </w:rPr>
      </w:pPr>
    </w:p>
    <w:p w14:paraId="7713C2C2" w14:textId="77777777" w:rsidR="00D332A3" w:rsidRPr="00034B61" w:rsidRDefault="00D332A3" w:rsidP="002C3B99">
      <w:pPr>
        <w:spacing w:after="0" w:line="240" w:lineRule="auto"/>
        <w:rPr>
          <w:rFonts w:ascii="Arial" w:hAnsi="Arial" w:cs="Arial"/>
          <w:sz w:val="24"/>
          <w:szCs w:val="24"/>
        </w:rPr>
      </w:pPr>
    </w:p>
    <w:p w14:paraId="10F00153" w14:textId="77777777" w:rsidR="00034B61" w:rsidRPr="00DE6061" w:rsidRDefault="00034B61" w:rsidP="002C3B99">
      <w:pPr>
        <w:spacing w:after="0" w:line="240" w:lineRule="auto"/>
        <w:rPr>
          <w:rFonts w:ascii="Arial" w:hAnsi="Arial" w:cs="Arial"/>
          <w:b/>
          <w:bCs/>
          <w:sz w:val="24"/>
          <w:szCs w:val="24"/>
        </w:rPr>
      </w:pPr>
      <w:r w:rsidRPr="00DE6061">
        <w:rPr>
          <w:rFonts w:ascii="Arial" w:hAnsi="Arial" w:cs="Arial"/>
          <w:b/>
          <w:bCs/>
          <w:sz w:val="24"/>
          <w:szCs w:val="24"/>
        </w:rPr>
        <w:t>Strategic Mapping Project of Interdepartmental Federal Initiatives  </w:t>
      </w:r>
    </w:p>
    <w:p w14:paraId="0993EFA6" w14:textId="77777777" w:rsidR="00D332A3" w:rsidRPr="00034B61" w:rsidRDefault="00D332A3" w:rsidP="002C3B99">
      <w:pPr>
        <w:spacing w:after="0" w:line="240" w:lineRule="auto"/>
        <w:rPr>
          <w:rFonts w:ascii="Arial" w:hAnsi="Arial" w:cs="Arial"/>
          <w:sz w:val="24"/>
          <w:szCs w:val="24"/>
        </w:rPr>
      </w:pPr>
    </w:p>
    <w:p w14:paraId="6E77C630" w14:textId="599ACFA4"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Since April 2025, ESDC has been collaborating with other government departments on a strategic mapping project to:  </w:t>
      </w:r>
    </w:p>
    <w:p w14:paraId="03FB0B1D" w14:textId="77777777" w:rsidR="00034B61" w:rsidRPr="00034B61" w:rsidRDefault="00034B61" w:rsidP="002C3B99">
      <w:pPr>
        <w:numPr>
          <w:ilvl w:val="0"/>
          <w:numId w:val="19"/>
        </w:numPr>
        <w:spacing w:after="0" w:line="240" w:lineRule="auto"/>
        <w:rPr>
          <w:rFonts w:ascii="Arial" w:hAnsi="Arial" w:cs="Arial"/>
          <w:sz w:val="24"/>
          <w:szCs w:val="24"/>
        </w:rPr>
      </w:pPr>
      <w:r w:rsidRPr="00034B61">
        <w:rPr>
          <w:rFonts w:ascii="Arial" w:hAnsi="Arial" w:cs="Arial"/>
          <w:sz w:val="24"/>
          <w:szCs w:val="24"/>
        </w:rPr>
        <w:t>Identify existing initiatives related to restoring the demographic weight of Francophones outside Quebec, as well as the workforce and economic development of OLMCs </w:t>
      </w:r>
    </w:p>
    <w:p w14:paraId="50E60BC2" w14:textId="77777777" w:rsidR="00034B61" w:rsidRPr="00034B61" w:rsidRDefault="00034B61" w:rsidP="002C3B99">
      <w:pPr>
        <w:numPr>
          <w:ilvl w:val="0"/>
          <w:numId w:val="20"/>
        </w:numPr>
        <w:spacing w:after="0" w:line="240" w:lineRule="auto"/>
        <w:rPr>
          <w:rFonts w:ascii="Arial" w:hAnsi="Arial" w:cs="Arial"/>
          <w:sz w:val="24"/>
          <w:szCs w:val="24"/>
        </w:rPr>
      </w:pPr>
      <w:r w:rsidRPr="00034B61">
        <w:rPr>
          <w:rFonts w:ascii="Arial" w:hAnsi="Arial" w:cs="Arial"/>
          <w:sz w:val="24"/>
          <w:szCs w:val="24"/>
        </w:rPr>
        <w:t>Identify program/activity overlaps, gaps, and opportunities for improvement </w:t>
      </w:r>
    </w:p>
    <w:p w14:paraId="245E0278"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45918C23"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In parallel, the Skills and Employment Branch has also analysed its programs to assess the integration of positive measures such as: </w:t>
      </w:r>
    </w:p>
    <w:p w14:paraId="7BB9ECAF" w14:textId="77777777" w:rsidR="00034B61" w:rsidRPr="00034B61" w:rsidRDefault="00034B61" w:rsidP="002C3B99">
      <w:pPr>
        <w:numPr>
          <w:ilvl w:val="0"/>
          <w:numId w:val="21"/>
        </w:numPr>
        <w:spacing w:after="0" w:line="240" w:lineRule="auto"/>
        <w:rPr>
          <w:rFonts w:ascii="Arial" w:hAnsi="Arial" w:cs="Arial"/>
          <w:sz w:val="24"/>
          <w:szCs w:val="24"/>
        </w:rPr>
      </w:pPr>
      <w:r w:rsidRPr="00034B61">
        <w:rPr>
          <w:rFonts w:ascii="Arial" w:hAnsi="Arial" w:cs="Arial"/>
          <w:sz w:val="24"/>
          <w:szCs w:val="24"/>
        </w:rPr>
        <w:t>Language clauses in funding agreements with provinces and territories </w:t>
      </w:r>
    </w:p>
    <w:p w14:paraId="26B9EAD7" w14:textId="77777777" w:rsidR="00034B61" w:rsidRPr="00034B61" w:rsidRDefault="00034B61" w:rsidP="002C3B99">
      <w:pPr>
        <w:numPr>
          <w:ilvl w:val="0"/>
          <w:numId w:val="22"/>
        </w:numPr>
        <w:spacing w:after="0" w:line="240" w:lineRule="auto"/>
        <w:rPr>
          <w:rFonts w:ascii="Arial" w:hAnsi="Arial" w:cs="Arial"/>
          <w:sz w:val="24"/>
          <w:szCs w:val="24"/>
        </w:rPr>
      </w:pPr>
      <w:r w:rsidRPr="00034B61">
        <w:rPr>
          <w:rFonts w:ascii="Arial" w:hAnsi="Arial" w:cs="Arial"/>
          <w:sz w:val="24"/>
          <w:szCs w:val="24"/>
        </w:rPr>
        <w:t>Engagement of OLMCs in program design </w:t>
      </w:r>
    </w:p>
    <w:p w14:paraId="4572F7EC" w14:textId="77777777" w:rsidR="00034B61" w:rsidRPr="00034B61" w:rsidRDefault="00034B61" w:rsidP="002C3B99">
      <w:pPr>
        <w:numPr>
          <w:ilvl w:val="0"/>
          <w:numId w:val="23"/>
        </w:numPr>
        <w:spacing w:after="0" w:line="240" w:lineRule="auto"/>
        <w:rPr>
          <w:rFonts w:ascii="Arial" w:hAnsi="Arial" w:cs="Arial"/>
          <w:sz w:val="24"/>
          <w:szCs w:val="24"/>
        </w:rPr>
      </w:pPr>
      <w:r w:rsidRPr="00034B61">
        <w:rPr>
          <w:rFonts w:ascii="Arial" w:hAnsi="Arial" w:cs="Arial"/>
          <w:sz w:val="24"/>
          <w:szCs w:val="24"/>
          <w:lang w:val="fr-CA"/>
        </w:rPr>
        <w:t xml:space="preserve">Impact </w:t>
      </w:r>
      <w:proofErr w:type="spellStart"/>
      <w:r w:rsidRPr="00034B61">
        <w:rPr>
          <w:rFonts w:ascii="Arial" w:hAnsi="Arial" w:cs="Arial"/>
          <w:sz w:val="24"/>
          <w:szCs w:val="24"/>
          <w:lang w:val="fr-CA"/>
        </w:rPr>
        <w:t>assessment</w:t>
      </w:r>
      <w:proofErr w:type="spellEnd"/>
      <w:r w:rsidRPr="00034B61">
        <w:rPr>
          <w:rFonts w:ascii="Arial" w:hAnsi="Arial" w:cs="Arial"/>
          <w:sz w:val="24"/>
          <w:szCs w:val="24"/>
          <w:lang w:val="fr-CA"/>
        </w:rPr>
        <w:t xml:space="preserve"> on </w:t>
      </w:r>
      <w:proofErr w:type="spellStart"/>
      <w:r w:rsidRPr="00034B61">
        <w:rPr>
          <w:rFonts w:ascii="Arial" w:hAnsi="Arial" w:cs="Arial"/>
          <w:sz w:val="24"/>
          <w:szCs w:val="24"/>
          <w:lang w:val="fr-CA"/>
        </w:rPr>
        <w:t>OLMCs</w:t>
      </w:r>
      <w:proofErr w:type="spellEnd"/>
      <w:r w:rsidRPr="00034B61">
        <w:rPr>
          <w:rFonts w:ascii="Arial" w:hAnsi="Arial" w:cs="Arial"/>
          <w:sz w:val="24"/>
          <w:szCs w:val="24"/>
        </w:rPr>
        <w:t> </w:t>
      </w:r>
    </w:p>
    <w:p w14:paraId="669DECF4"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w:t>
      </w:r>
    </w:p>
    <w:p w14:paraId="53982CC6" w14:textId="77777777" w:rsidR="00034B61" w:rsidRPr="00034B61" w:rsidRDefault="00034B61" w:rsidP="002C3B99">
      <w:pPr>
        <w:spacing w:after="0" w:line="240" w:lineRule="auto"/>
        <w:rPr>
          <w:rFonts w:ascii="Arial" w:hAnsi="Arial" w:cs="Arial"/>
          <w:sz w:val="24"/>
          <w:szCs w:val="24"/>
        </w:rPr>
      </w:pPr>
      <w:r w:rsidRPr="00034B61">
        <w:rPr>
          <w:rFonts w:ascii="Arial" w:hAnsi="Arial" w:cs="Arial"/>
          <w:sz w:val="24"/>
          <w:szCs w:val="24"/>
        </w:rPr>
        <w:t xml:space="preserve">This large-scale project, requested by OLMC organizations, allows ESDC to collaborate with other government departments and consolidate interdepartmental initiatives for the next APOL 2028–2033. The results will inform the development of the next APOL as </w:t>
      </w:r>
      <w:r w:rsidRPr="00034B61">
        <w:rPr>
          <w:rFonts w:ascii="Arial" w:hAnsi="Arial" w:cs="Arial"/>
          <w:sz w:val="24"/>
          <w:szCs w:val="24"/>
        </w:rPr>
        <w:lastRenderedPageBreak/>
        <w:t>well as other public policies related to official languages and OLMCs. The project findings will be presented to external stakeholders in early 2026. </w:t>
      </w:r>
    </w:p>
    <w:p w14:paraId="2C56963D" w14:textId="77777777" w:rsidR="00034B61" w:rsidRPr="002C3B99" w:rsidRDefault="00034B61" w:rsidP="002C3B99">
      <w:pPr>
        <w:spacing w:after="0" w:line="240" w:lineRule="auto"/>
        <w:rPr>
          <w:rFonts w:ascii="Arial" w:hAnsi="Arial" w:cs="Arial"/>
          <w:b/>
          <w:bCs/>
          <w:sz w:val="24"/>
          <w:szCs w:val="24"/>
        </w:rPr>
      </w:pPr>
    </w:p>
    <w:p w14:paraId="3F31DFA4" w14:textId="1A0CA74B" w:rsidR="000E11DC" w:rsidRPr="00DE3546" w:rsidRDefault="000E11DC">
      <w:pPr>
        <w:rPr>
          <w:rFonts w:ascii="Arial" w:hAnsi="Arial" w:cs="Arial"/>
          <w:b/>
          <w:bCs/>
          <w:sz w:val="24"/>
          <w:szCs w:val="24"/>
        </w:rPr>
      </w:pPr>
    </w:p>
    <w:sectPr w:rsidR="000E11DC" w:rsidRPr="00DE354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03424"/>
    <w:multiLevelType w:val="multilevel"/>
    <w:tmpl w:val="0894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582C8A"/>
    <w:multiLevelType w:val="hybridMultilevel"/>
    <w:tmpl w:val="D9482D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CBB5691"/>
    <w:multiLevelType w:val="multilevel"/>
    <w:tmpl w:val="61685A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EA0104D"/>
    <w:multiLevelType w:val="hybridMultilevel"/>
    <w:tmpl w:val="F27660A0"/>
    <w:lvl w:ilvl="0" w:tplc="FFFFFFFF">
      <w:start w:val="1"/>
      <w:numFmt w:val="bullet"/>
      <w:lvlText w:val=""/>
      <w:lvlJc w:val="left"/>
      <w:pPr>
        <w:ind w:left="720" w:hanging="360"/>
      </w:pPr>
      <w:rPr>
        <w:rFonts w:ascii="Symbol" w:hAnsi="Symbol" w:hint="default"/>
      </w:rPr>
    </w:lvl>
    <w:lvl w:ilvl="1" w:tplc="10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6B76182"/>
    <w:multiLevelType w:val="hybridMultilevel"/>
    <w:tmpl w:val="A0A09974"/>
    <w:lvl w:ilvl="0" w:tplc="10090001">
      <w:start w:val="1"/>
      <w:numFmt w:val="bullet"/>
      <w:lvlText w:val=""/>
      <w:lvlJc w:val="left"/>
      <w:pPr>
        <w:ind w:left="1068" w:hanging="360"/>
      </w:pPr>
      <w:rPr>
        <w:rFonts w:ascii="Symbol" w:hAnsi="Symbol"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5" w15:restartNumberingAfterBreak="0">
    <w:nsid w:val="2A646957"/>
    <w:multiLevelType w:val="hybridMultilevel"/>
    <w:tmpl w:val="D52A22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DFE19AE"/>
    <w:multiLevelType w:val="multilevel"/>
    <w:tmpl w:val="A82A035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7" w15:restartNumberingAfterBreak="0">
    <w:nsid w:val="2FBB4873"/>
    <w:multiLevelType w:val="multilevel"/>
    <w:tmpl w:val="4AD2DE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349A2C3F"/>
    <w:multiLevelType w:val="hybridMultilevel"/>
    <w:tmpl w:val="49C43E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53C7665"/>
    <w:multiLevelType w:val="multilevel"/>
    <w:tmpl w:val="8AEA9BE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0" w15:restartNumberingAfterBreak="0">
    <w:nsid w:val="3881674B"/>
    <w:multiLevelType w:val="multilevel"/>
    <w:tmpl w:val="0060C5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9D90060"/>
    <w:multiLevelType w:val="hybridMultilevel"/>
    <w:tmpl w:val="16784E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C526221"/>
    <w:multiLevelType w:val="hybridMultilevel"/>
    <w:tmpl w:val="C29EDD7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3D9E061B"/>
    <w:multiLevelType w:val="multilevel"/>
    <w:tmpl w:val="BE5412C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4" w15:restartNumberingAfterBreak="0">
    <w:nsid w:val="3F770961"/>
    <w:multiLevelType w:val="hybridMultilevel"/>
    <w:tmpl w:val="2FE8420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145906"/>
    <w:multiLevelType w:val="hybridMultilevel"/>
    <w:tmpl w:val="DC1467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F204D4C"/>
    <w:multiLevelType w:val="multilevel"/>
    <w:tmpl w:val="4834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FD06EF"/>
    <w:multiLevelType w:val="multilevel"/>
    <w:tmpl w:val="7BAE38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EE54AC2"/>
    <w:multiLevelType w:val="multilevel"/>
    <w:tmpl w:val="921CE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726E92"/>
    <w:multiLevelType w:val="multilevel"/>
    <w:tmpl w:val="72189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9B1E85"/>
    <w:multiLevelType w:val="multilevel"/>
    <w:tmpl w:val="35CAE00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1" w15:restartNumberingAfterBreak="0">
    <w:nsid w:val="678809BB"/>
    <w:multiLevelType w:val="hybridMultilevel"/>
    <w:tmpl w:val="085CF0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7A86B9B"/>
    <w:multiLevelType w:val="multilevel"/>
    <w:tmpl w:val="E448387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3" w15:restartNumberingAfterBreak="0">
    <w:nsid w:val="68223985"/>
    <w:multiLevelType w:val="multilevel"/>
    <w:tmpl w:val="B7E6863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4" w15:restartNumberingAfterBreak="0">
    <w:nsid w:val="683C2380"/>
    <w:multiLevelType w:val="multilevel"/>
    <w:tmpl w:val="54C4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FC36899"/>
    <w:multiLevelType w:val="multilevel"/>
    <w:tmpl w:val="1A32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997063"/>
    <w:multiLevelType w:val="multilevel"/>
    <w:tmpl w:val="C7BE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C4C457E"/>
    <w:multiLevelType w:val="hybridMultilevel"/>
    <w:tmpl w:val="58288F5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27487651">
    <w:abstractNumId w:val="21"/>
  </w:num>
  <w:num w:numId="2" w16cid:durableId="895512871">
    <w:abstractNumId w:val="8"/>
  </w:num>
  <w:num w:numId="3" w16cid:durableId="1770731028">
    <w:abstractNumId w:val="15"/>
  </w:num>
  <w:num w:numId="4" w16cid:durableId="466124040">
    <w:abstractNumId w:val="3"/>
  </w:num>
  <w:num w:numId="5" w16cid:durableId="1828741444">
    <w:abstractNumId w:val="11"/>
  </w:num>
  <w:num w:numId="6" w16cid:durableId="1824470439">
    <w:abstractNumId w:val="14"/>
  </w:num>
  <w:num w:numId="7" w16cid:durableId="1170565790">
    <w:abstractNumId w:val="7"/>
  </w:num>
  <w:num w:numId="8" w16cid:durableId="437601781">
    <w:abstractNumId w:val="2"/>
  </w:num>
  <w:num w:numId="9" w16cid:durableId="1188442703">
    <w:abstractNumId w:val="17"/>
  </w:num>
  <w:num w:numId="10" w16cid:durableId="1999797024">
    <w:abstractNumId w:val="10"/>
  </w:num>
  <w:num w:numId="11" w16cid:durableId="977417926">
    <w:abstractNumId w:val="26"/>
  </w:num>
  <w:num w:numId="12" w16cid:durableId="27488279">
    <w:abstractNumId w:val="20"/>
  </w:num>
  <w:num w:numId="13" w16cid:durableId="1865513622">
    <w:abstractNumId w:val="22"/>
  </w:num>
  <w:num w:numId="14" w16cid:durableId="692001948">
    <w:abstractNumId w:val="6"/>
  </w:num>
  <w:num w:numId="15" w16cid:durableId="2022706906">
    <w:abstractNumId w:val="24"/>
  </w:num>
  <w:num w:numId="16" w16cid:durableId="773554086">
    <w:abstractNumId w:val="23"/>
  </w:num>
  <w:num w:numId="17" w16cid:durableId="1360618761">
    <w:abstractNumId w:val="13"/>
  </w:num>
  <w:num w:numId="18" w16cid:durableId="1704209051">
    <w:abstractNumId w:val="9"/>
  </w:num>
  <w:num w:numId="19" w16cid:durableId="418256549">
    <w:abstractNumId w:val="19"/>
  </w:num>
  <w:num w:numId="20" w16cid:durableId="1763180691">
    <w:abstractNumId w:val="18"/>
  </w:num>
  <w:num w:numId="21" w16cid:durableId="1110205283">
    <w:abstractNumId w:val="25"/>
  </w:num>
  <w:num w:numId="22" w16cid:durableId="1203404055">
    <w:abstractNumId w:val="16"/>
  </w:num>
  <w:num w:numId="23" w16cid:durableId="407969746">
    <w:abstractNumId w:val="0"/>
  </w:num>
  <w:num w:numId="24" w16cid:durableId="885488074">
    <w:abstractNumId w:val="27"/>
  </w:num>
  <w:num w:numId="25" w16cid:durableId="1822916490">
    <w:abstractNumId w:val="4"/>
  </w:num>
  <w:num w:numId="26" w16cid:durableId="227886141">
    <w:abstractNumId w:val="1"/>
  </w:num>
  <w:num w:numId="27" w16cid:durableId="2006857168">
    <w:abstractNumId w:val="5"/>
  </w:num>
  <w:num w:numId="28" w16cid:durableId="16027577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CCA"/>
    <w:rsid w:val="0000234E"/>
    <w:rsid w:val="000032BE"/>
    <w:rsid w:val="0000667E"/>
    <w:rsid w:val="00012808"/>
    <w:rsid w:val="00013886"/>
    <w:rsid w:val="00023A92"/>
    <w:rsid w:val="00026BEF"/>
    <w:rsid w:val="00034B61"/>
    <w:rsid w:val="00046154"/>
    <w:rsid w:val="00050963"/>
    <w:rsid w:val="000722AB"/>
    <w:rsid w:val="000842CC"/>
    <w:rsid w:val="00097335"/>
    <w:rsid w:val="000A5988"/>
    <w:rsid w:val="000A6664"/>
    <w:rsid w:val="000C0BF7"/>
    <w:rsid w:val="000C2DD8"/>
    <w:rsid w:val="000D244D"/>
    <w:rsid w:val="000D7E24"/>
    <w:rsid w:val="000E11DC"/>
    <w:rsid w:val="000E2B15"/>
    <w:rsid w:val="000E516A"/>
    <w:rsid w:val="000E608F"/>
    <w:rsid w:val="00103650"/>
    <w:rsid w:val="001127CF"/>
    <w:rsid w:val="00120DA6"/>
    <w:rsid w:val="001235B6"/>
    <w:rsid w:val="001237E3"/>
    <w:rsid w:val="001270D4"/>
    <w:rsid w:val="00154E90"/>
    <w:rsid w:val="00162CC5"/>
    <w:rsid w:val="0016377B"/>
    <w:rsid w:val="001769B9"/>
    <w:rsid w:val="0018686E"/>
    <w:rsid w:val="00195DEC"/>
    <w:rsid w:val="001A50B7"/>
    <w:rsid w:val="001A54B4"/>
    <w:rsid w:val="001C3C78"/>
    <w:rsid w:val="001C3D84"/>
    <w:rsid w:val="001D51B3"/>
    <w:rsid w:val="0020661B"/>
    <w:rsid w:val="00231AA8"/>
    <w:rsid w:val="0023220E"/>
    <w:rsid w:val="0028356C"/>
    <w:rsid w:val="0029243B"/>
    <w:rsid w:val="00293AE1"/>
    <w:rsid w:val="0029778B"/>
    <w:rsid w:val="002A037F"/>
    <w:rsid w:val="002A1143"/>
    <w:rsid w:val="002B3C1B"/>
    <w:rsid w:val="002C2C54"/>
    <w:rsid w:val="002C3B99"/>
    <w:rsid w:val="002D3913"/>
    <w:rsid w:val="002D7FE1"/>
    <w:rsid w:val="00300966"/>
    <w:rsid w:val="00316166"/>
    <w:rsid w:val="00321A41"/>
    <w:rsid w:val="00331D24"/>
    <w:rsid w:val="00336C42"/>
    <w:rsid w:val="00356B6C"/>
    <w:rsid w:val="00371955"/>
    <w:rsid w:val="00376294"/>
    <w:rsid w:val="003769BD"/>
    <w:rsid w:val="003820A7"/>
    <w:rsid w:val="00390FBB"/>
    <w:rsid w:val="003A4587"/>
    <w:rsid w:val="003A63A0"/>
    <w:rsid w:val="003C41E4"/>
    <w:rsid w:val="003C57EB"/>
    <w:rsid w:val="003D3F07"/>
    <w:rsid w:val="003E3D57"/>
    <w:rsid w:val="003F199B"/>
    <w:rsid w:val="003F785E"/>
    <w:rsid w:val="00407A8A"/>
    <w:rsid w:val="00411C41"/>
    <w:rsid w:val="004231EA"/>
    <w:rsid w:val="00433BA5"/>
    <w:rsid w:val="00460D21"/>
    <w:rsid w:val="004758CD"/>
    <w:rsid w:val="004772D2"/>
    <w:rsid w:val="00477749"/>
    <w:rsid w:val="00480B5A"/>
    <w:rsid w:val="00496606"/>
    <w:rsid w:val="004A05AE"/>
    <w:rsid w:val="004A0FC8"/>
    <w:rsid w:val="004A4FBD"/>
    <w:rsid w:val="004B1BAF"/>
    <w:rsid w:val="004D1B81"/>
    <w:rsid w:val="004D3B54"/>
    <w:rsid w:val="004D431B"/>
    <w:rsid w:val="004D51F4"/>
    <w:rsid w:val="004E04B6"/>
    <w:rsid w:val="004E3FEE"/>
    <w:rsid w:val="004E4DCD"/>
    <w:rsid w:val="004E56FF"/>
    <w:rsid w:val="004E64D6"/>
    <w:rsid w:val="004F1737"/>
    <w:rsid w:val="00514563"/>
    <w:rsid w:val="00517347"/>
    <w:rsid w:val="00520F3F"/>
    <w:rsid w:val="00547823"/>
    <w:rsid w:val="0057066B"/>
    <w:rsid w:val="00574F78"/>
    <w:rsid w:val="005766E6"/>
    <w:rsid w:val="00581730"/>
    <w:rsid w:val="00584F75"/>
    <w:rsid w:val="005867DC"/>
    <w:rsid w:val="00592A60"/>
    <w:rsid w:val="00594A52"/>
    <w:rsid w:val="00597CFD"/>
    <w:rsid w:val="005C5FD8"/>
    <w:rsid w:val="005D06DC"/>
    <w:rsid w:val="005D64D2"/>
    <w:rsid w:val="005E62F1"/>
    <w:rsid w:val="005F6066"/>
    <w:rsid w:val="00602C94"/>
    <w:rsid w:val="00627E71"/>
    <w:rsid w:val="00641271"/>
    <w:rsid w:val="00646913"/>
    <w:rsid w:val="006640EB"/>
    <w:rsid w:val="00671A21"/>
    <w:rsid w:val="00672989"/>
    <w:rsid w:val="00677616"/>
    <w:rsid w:val="00681978"/>
    <w:rsid w:val="00684504"/>
    <w:rsid w:val="00685D10"/>
    <w:rsid w:val="00691A71"/>
    <w:rsid w:val="00692245"/>
    <w:rsid w:val="006D4E85"/>
    <w:rsid w:val="006E46C2"/>
    <w:rsid w:val="006E6A2B"/>
    <w:rsid w:val="006F27F4"/>
    <w:rsid w:val="00714501"/>
    <w:rsid w:val="007168C6"/>
    <w:rsid w:val="00725C4E"/>
    <w:rsid w:val="007303E8"/>
    <w:rsid w:val="00735324"/>
    <w:rsid w:val="00737346"/>
    <w:rsid w:val="00740FD6"/>
    <w:rsid w:val="00746BC1"/>
    <w:rsid w:val="00752BC7"/>
    <w:rsid w:val="00753921"/>
    <w:rsid w:val="0076216A"/>
    <w:rsid w:val="0077319F"/>
    <w:rsid w:val="0079459C"/>
    <w:rsid w:val="007B4A07"/>
    <w:rsid w:val="007C3BE3"/>
    <w:rsid w:val="007D202B"/>
    <w:rsid w:val="007E3877"/>
    <w:rsid w:val="007E3D07"/>
    <w:rsid w:val="007E3F60"/>
    <w:rsid w:val="008003F6"/>
    <w:rsid w:val="008176FD"/>
    <w:rsid w:val="0082747D"/>
    <w:rsid w:val="00835B4F"/>
    <w:rsid w:val="00846CB5"/>
    <w:rsid w:val="008514A5"/>
    <w:rsid w:val="008570C0"/>
    <w:rsid w:val="00882B46"/>
    <w:rsid w:val="008A5467"/>
    <w:rsid w:val="008A5A79"/>
    <w:rsid w:val="008A7C7B"/>
    <w:rsid w:val="008B132B"/>
    <w:rsid w:val="008C61AC"/>
    <w:rsid w:val="008D0917"/>
    <w:rsid w:val="008D4D99"/>
    <w:rsid w:val="008E5954"/>
    <w:rsid w:val="008F09F4"/>
    <w:rsid w:val="00904361"/>
    <w:rsid w:val="0092276C"/>
    <w:rsid w:val="00936B33"/>
    <w:rsid w:val="00950B01"/>
    <w:rsid w:val="00953DBA"/>
    <w:rsid w:val="00954856"/>
    <w:rsid w:val="00960A16"/>
    <w:rsid w:val="0096608D"/>
    <w:rsid w:val="00966EB7"/>
    <w:rsid w:val="00967EFD"/>
    <w:rsid w:val="00994E34"/>
    <w:rsid w:val="009A1B97"/>
    <w:rsid w:val="009B250C"/>
    <w:rsid w:val="009C12D3"/>
    <w:rsid w:val="009C77E9"/>
    <w:rsid w:val="009D17EC"/>
    <w:rsid w:val="009D3022"/>
    <w:rsid w:val="009D5A25"/>
    <w:rsid w:val="009F770A"/>
    <w:rsid w:val="009F7C19"/>
    <w:rsid w:val="00A00598"/>
    <w:rsid w:val="00A11B33"/>
    <w:rsid w:val="00A121FA"/>
    <w:rsid w:val="00A16680"/>
    <w:rsid w:val="00A2508D"/>
    <w:rsid w:val="00A3619B"/>
    <w:rsid w:val="00A416B9"/>
    <w:rsid w:val="00A45722"/>
    <w:rsid w:val="00A60BE3"/>
    <w:rsid w:val="00A71BB3"/>
    <w:rsid w:val="00A731B9"/>
    <w:rsid w:val="00A75458"/>
    <w:rsid w:val="00A75545"/>
    <w:rsid w:val="00A935BB"/>
    <w:rsid w:val="00AC168B"/>
    <w:rsid w:val="00AD2AE4"/>
    <w:rsid w:val="00AE795F"/>
    <w:rsid w:val="00AE79B5"/>
    <w:rsid w:val="00B11CF7"/>
    <w:rsid w:val="00B36E98"/>
    <w:rsid w:val="00B379DC"/>
    <w:rsid w:val="00B40B68"/>
    <w:rsid w:val="00B44B04"/>
    <w:rsid w:val="00B642E9"/>
    <w:rsid w:val="00B85F1D"/>
    <w:rsid w:val="00B86F8F"/>
    <w:rsid w:val="00B92E2C"/>
    <w:rsid w:val="00BA03BA"/>
    <w:rsid w:val="00BA135D"/>
    <w:rsid w:val="00BB01BA"/>
    <w:rsid w:val="00BB2BD5"/>
    <w:rsid w:val="00BB7654"/>
    <w:rsid w:val="00BC4AE8"/>
    <w:rsid w:val="00BD339A"/>
    <w:rsid w:val="00BD4053"/>
    <w:rsid w:val="00C12F99"/>
    <w:rsid w:val="00C13D6C"/>
    <w:rsid w:val="00C426FA"/>
    <w:rsid w:val="00C43135"/>
    <w:rsid w:val="00C43159"/>
    <w:rsid w:val="00C443B5"/>
    <w:rsid w:val="00C4688B"/>
    <w:rsid w:val="00C55C8A"/>
    <w:rsid w:val="00C63F69"/>
    <w:rsid w:val="00C87322"/>
    <w:rsid w:val="00CA6514"/>
    <w:rsid w:val="00CB1FB3"/>
    <w:rsid w:val="00CB5A21"/>
    <w:rsid w:val="00CB6C7D"/>
    <w:rsid w:val="00CB6EDF"/>
    <w:rsid w:val="00CB757E"/>
    <w:rsid w:val="00CE736C"/>
    <w:rsid w:val="00CF7A3E"/>
    <w:rsid w:val="00D0248B"/>
    <w:rsid w:val="00D11260"/>
    <w:rsid w:val="00D332A3"/>
    <w:rsid w:val="00D35603"/>
    <w:rsid w:val="00D35625"/>
    <w:rsid w:val="00D434C0"/>
    <w:rsid w:val="00D435C1"/>
    <w:rsid w:val="00D467AB"/>
    <w:rsid w:val="00D47519"/>
    <w:rsid w:val="00D51F4D"/>
    <w:rsid w:val="00D57FDF"/>
    <w:rsid w:val="00D70B19"/>
    <w:rsid w:val="00D73727"/>
    <w:rsid w:val="00D756C2"/>
    <w:rsid w:val="00D81D52"/>
    <w:rsid w:val="00D82CB0"/>
    <w:rsid w:val="00D87E4A"/>
    <w:rsid w:val="00D95FAA"/>
    <w:rsid w:val="00DA2001"/>
    <w:rsid w:val="00DC3315"/>
    <w:rsid w:val="00DC6D4E"/>
    <w:rsid w:val="00DD479E"/>
    <w:rsid w:val="00DD62FE"/>
    <w:rsid w:val="00DD641F"/>
    <w:rsid w:val="00DD7F8B"/>
    <w:rsid w:val="00DE3546"/>
    <w:rsid w:val="00DE6061"/>
    <w:rsid w:val="00DF72AE"/>
    <w:rsid w:val="00E05C07"/>
    <w:rsid w:val="00E11426"/>
    <w:rsid w:val="00E13881"/>
    <w:rsid w:val="00E217CB"/>
    <w:rsid w:val="00E21ED9"/>
    <w:rsid w:val="00E3028D"/>
    <w:rsid w:val="00E31243"/>
    <w:rsid w:val="00E4188D"/>
    <w:rsid w:val="00E51676"/>
    <w:rsid w:val="00E55AB5"/>
    <w:rsid w:val="00E9061B"/>
    <w:rsid w:val="00E97DCD"/>
    <w:rsid w:val="00EA2B1A"/>
    <w:rsid w:val="00EB218A"/>
    <w:rsid w:val="00EB72B2"/>
    <w:rsid w:val="00EC0E0C"/>
    <w:rsid w:val="00EC1C23"/>
    <w:rsid w:val="00ED4A48"/>
    <w:rsid w:val="00EF150D"/>
    <w:rsid w:val="00EF18A1"/>
    <w:rsid w:val="00EF2BF5"/>
    <w:rsid w:val="00EF48C9"/>
    <w:rsid w:val="00F13681"/>
    <w:rsid w:val="00F21D92"/>
    <w:rsid w:val="00F36453"/>
    <w:rsid w:val="00F37D1F"/>
    <w:rsid w:val="00F42666"/>
    <w:rsid w:val="00F47BAE"/>
    <w:rsid w:val="00F50944"/>
    <w:rsid w:val="00F56C67"/>
    <w:rsid w:val="00F612B9"/>
    <w:rsid w:val="00F6657A"/>
    <w:rsid w:val="00F66CCA"/>
    <w:rsid w:val="00F673F6"/>
    <w:rsid w:val="00F72DC7"/>
    <w:rsid w:val="00F75DC0"/>
    <w:rsid w:val="00F834F3"/>
    <w:rsid w:val="00F90F59"/>
    <w:rsid w:val="00F943BD"/>
    <w:rsid w:val="00FB2C1A"/>
    <w:rsid w:val="00FB30E3"/>
    <w:rsid w:val="00FC2FBE"/>
    <w:rsid w:val="00FD1A98"/>
    <w:rsid w:val="00FD66C3"/>
    <w:rsid w:val="00FE4179"/>
    <w:rsid w:val="01EBEA94"/>
    <w:rsid w:val="01FC1EF9"/>
    <w:rsid w:val="02029195"/>
    <w:rsid w:val="024905F4"/>
    <w:rsid w:val="02CABDF7"/>
    <w:rsid w:val="03935C47"/>
    <w:rsid w:val="04022EC9"/>
    <w:rsid w:val="0482D9C5"/>
    <w:rsid w:val="04F3775D"/>
    <w:rsid w:val="0594646A"/>
    <w:rsid w:val="0666D392"/>
    <w:rsid w:val="07E07DD2"/>
    <w:rsid w:val="0834E9D9"/>
    <w:rsid w:val="08543B59"/>
    <w:rsid w:val="0883DC9C"/>
    <w:rsid w:val="08862695"/>
    <w:rsid w:val="0A43097C"/>
    <w:rsid w:val="0B244550"/>
    <w:rsid w:val="0BC7DEFA"/>
    <w:rsid w:val="0C6539A0"/>
    <w:rsid w:val="0CF9E635"/>
    <w:rsid w:val="0D900CFB"/>
    <w:rsid w:val="0D94800B"/>
    <w:rsid w:val="0DB78247"/>
    <w:rsid w:val="0F20DEA8"/>
    <w:rsid w:val="0F7660B9"/>
    <w:rsid w:val="0F9F94B5"/>
    <w:rsid w:val="107D8D5C"/>
    <w:rsid w:val="109FBCEF"/>
    <w:rsid w:val="126DDDE7"/>
    <w:rsid w:val="12F2B794"/>
    <w:rsid w:val="1376AB67"/>
    <w:rsid w:val="13AD94B7"/>
    <w:rsid w:val="13EAF59D"/>
    <w:rsid w:val="18F60937"/>
    <w:rsid w:val="19292660"/>
    <w:rsid w:val="19823525"/>
    <w:rsid w:val="1B2B5A6B"/>
    <w:rsid w:val="1C3302E5"/>
    <w:rsid w:val="1C6EE03B"/>
    <w:rsid w:val="1CC75BA1"/>
    <w:rsid w:val="1E24E05D"/>
    <w:rsid w:val="1EAEED20"/>
    <w:rsid w:val="1F97B086"/>
    <w:rsid w:val="1FC15535"/>
    <w:rsid w:val="204329A1"/>
    <w:rsid w:val="20633083"/>
    <w:rsid w:val="20F7A73D"/>
    <w:rsid w:val="225831AE"/>
    <w:rsid w:val="227E16A4"/>
    <w:rsid w:val="22942519"/>
    <w:rsid w:val="23197B8D"/>
    <w:rsid w:val="23BCFA16"/>
    <w:rsid w:val="246442C6"/>
    <w:rsid w:val="2554EFDE"/>
    <w:rsid w:val="2610956D"/>
    <w:rsid w:val="2697BC15"/>
    <w:rsid w:val="27D484E5"/>
    <w:rsid w:val="27F86779"/>
    <w:rsid w:val="28C4AB59"/>
    <w:rsid w:val="2A3FCA38"/>
    <w:rsid w:val="2A430482"/>
    <w:rsid w:val="2A638703"/>
    <w:rsid w:val="2BDA8465"/>
    <w:rsid w:val="2C936072"/>
    <w:rsid w:val="2DE2B3D8"/>
    <w:rsid w:val="2F2339F5"/>
    <w:rsid w:val="306AA7CB"/>
    <w:rsid w:val="30783C84"/>
    <w:rsid w:val="31BB145B"/>
    <w:rsid w:val="323CDEF2"/>
    <w:rsid w:val="3276BC51"/>
    <w:rsid w:val="33302EBB"/>
    <w:rsid w:val="343BDED6"/>
    <w:rsid w:val="3492B084"/>
    <w:rsid w:val="3493029F"/>
    <w:rsid w:val="34FBBF79"/>
    <w:rsid w:val="355F2E99"/>
    <w:rsid w:val="3657FD1D"/>
    <w:rsid w:val="3678D981"/>
    <w:rsid w:val="370E02B1"/>
    <w:rsid w:val="37B2E201"/>
    <w:rsid w:val="380A9F4E"/>
    <w:rsid w:val="39887D19"/>
    <w:rsid w:val="39E63A9F"/>
    <w:rsid w:val="3AC1FE8E"/>
    <w:rsid w:val="3AEE1F87"/>
    <w:rsid w:val="3B61C2ED"/>
    <w:rsid w:val="3C4EC4C0"/>
    <w:rsid w:val="3C9A57D5"/>
    <w:rsid w:val="3CC430F1"/>
    <w:rsid w:val="3DDFFB2C"/>
    <w:rsid w:val="3E3E6D01"/>
    <w:rsid w:val="3F0FEB66"/>
    <w:rsid w:val="40D4B837"/>
    <w:rsid w:val="432F0B69"/>
    <w:rsid w:val="43A3B9DF"/>
    <w:rsid w:val="458835DD"/>
    <w:rsid w:val="464B774C"/>
    <w:rsid w:val="4663528E"/>
    <w:rsid w:val="476BBC67"/>
    <w:rsid w:val="4A4ABFD2"/>
    <w:rsid w:val="4A4BC22E"/>
    <w:rsid w:val="4A590A1E"/>
    <w:rsid w:val="4AD23ACB"/>
    <w:rsid w:val="4B6DE1C4"/>
    <w:rsid w:val="4B7219C2"/>
    <w:rsid w:val="4B968145"/>
    <w:rsid w:val="4BDC15CB"/>
    <w:rsid w:val="4CE42969"/>
    <w:rsid w:val="4D7DDBC4"/>
    <w:rsid w:val="4D8503B7"/>
    <w:rsid w:val="4E760D12"/>
    <w:rsid w:val="4EC62221"/>
    <w:rsid w:val="4ECEB89C"/>
    <w:rsid w:val="503F77E2"/>
    <w:rsid w:val="51205F66"/>
    <w:rsid w:val="51D28E0A"/>
    <w:rsid w:val="51D376AC"/>
    <w:rsid w:val="52F4CF31"/>
    <w:rsid w:val="530F62EE"/>
    <w:rsid w:val="538256E3"/>
    <w:rsid w:val="539E3ACC"/>
    <w:rsid w:val="53A08E59"/>
    <w:rsid w:val="53DFE419"/>
    <w:rsid w:val="54ED2536"/>
    <w:rsid w:val="552C331C"/>
    <w:rsid w:val="55A1432D"/>
    <w:rsid w:val="5610838B"/>
    <w:rsid w:val="562F506C"/>
    <w:rsid w:val="573B0686"/>
    <w:rsid w:val="57C4A3C3"/>
    <w:rsid w:val="580F48F1"/>
    <w:rsid w:val="58503113"/>
    <w:rsid w:val="5A5D5E36"/>
    <w:rsid w:val="5A8690C9"/>
    <w:rsid w:val="5AE88DA6"/>
    <w:rsid w:val="5CC1B179"/>
    <w:rsid w:val="5D22A9AC"/>
    <w:rsid w:val="5FDB4EC7"/>
    <w:rsid w:val="600329DF"/>
    <w:rsid w:val="603D8122"/>
    <w:rsid w:val="60882650"/>
    <w:rsid w:val="60CB9A70"/>
    <w:rsid w:val="60E9608D"/>
    <w:rsid w:val="6135DDFC"/>
    <w:rsid w:val="623E5637"/>
    <w:rsid w:val="62636A54"/>
    <w:rsid w:val="62A6347C"/>
    <w:rsid w:val="62B63C25"/>
    <w:rsid w:val="6301CB79"/>
    <w:rsid w:val="6335A7B2"/>
    <w:rsid w:val="633C1D01"/>
    <w:rsid w:val="63A410E5"/>
    <w:rsid w:val="63BE2A7C"/>
    <w:rsid w:val="64B9C963"/>
    <w:rsid w:val="6590BB2D"/>
    <w:rsid w:val="663F06B1"/>
    <w:rsid w:val="665703C3"/>
    <w:rsid w:val="66ED73F6"/>
    <w:rsid w:val="67245B14"/>
    <w:rsid w:val="67A7EE50"/>
    <w:rsid w:val="6A822BB5"/>
    <w:rsid w:val="6B4928BF"/>
    <w:rsid w:val="6CD87CE3"/>
    <w:rsid w:val="6DC2509E"/>
    <w:rsid w:val="6F37C890"/>
    <w:rsid w:val="6F4AC685"/>
    <w:rsid w:val="6F54F748"/>
    <w:rsid w:val="6FBC9803"/>
    <w:rsid w:val="71677A82"/>
    <w:rsid w:val="719B2CC2"/>
    <w:rsid w:val="71A3C4CB"/>
    <w:rsid w:val="71C3AC44"/>
    <w:rsid w:val="730F3EC2"/>
    <w:rsid w:val="733E5849"/>
    <w:rsid w:val="7379B973"/>
    <w:rsid w:val="74260B6C"/>
    <w:rsid w:val="742C2AEF"/>
    <w:rsid w:val="742F54CD"/>
    <w:rsid w:val="75461E10"/>
    <w:rsid w:val="7577E1C0"/>
    <w:rsid w:val="75826EDB"/>
    <w:rsid w:val="7636F506"/>
    <w:rsid w:val="76F38BDD"/>
    <w:rsid w:val="77CBF2D5"/>
    <w:rsid w:val="77CE51E6"/>
    <w:rsid w:val="7BEA3F75"/>
    <w:rsid w:val="7CDF549A"/>
    <w:rsid w:val="7D809189"/>
    <w:rsid w:val="7F26A6B3"/>
    <w:rsid w:val="7FB201D3"/>
    <w:rsid w:val="7FF913E4"/>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6D194"/>
  <w15:chartTrackingRefBased/>
  <w15:docId w15:val="{582EE8A8-1A87-4281-B0E0-FF0CA597B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6C2"/>
    <w:pPr>
      <w:ind w:left="720"/>
      <w:contextualSpacing/>
    </w:pPr>
  </w:style>
  <w:style w:type="paragraph" w:styleId="CommentText">
    <w:name w:val="annotation text"/>
    <w:basedOn w:val="Normal"/>
    <w:link w:val="CommentTextChar"/>
    <w:uiPriority w:val="99"/>
    <w:unhideWhenUsed/>
    <w:rsid w:val="00594A52"/>
    <w:pPr>
      <w:spacing w:line="240" w:lineRule="auto"/>
    </w:pPr>
    <w:rPr>
      <w:sz w:val="20"/>
      <w:szCs w:val="20"/>
    </w:rPr>
  </w:style>
  <w:style w:type="character" w:customStyle="1" w:styleId="CommentTextChar">
    <w:name w:val="Comment Text Char"/>
    <w:basedOn w:val="DefaultParagraphFont"/>
    <w:link w:val="CommentText"/>
    <w:uiPriority w:val="99"/>
    <w:rsid w:val="00594A52"/>
    <w:rPr>
      <w:sz w:val="20"/>
      <w:szCs w:val="20"/>
    </w:rPr>
  </w:style>
  <w:style w:type="character" w:styleId="CommentReference">
    <w:name w:val="annotation reference"/>
    <w:basedOn w:val="DefaultParagraphFont"/>
    <w:uiPriority w:val="99"/>
    <w:semiHidden/>
    <w:unhideWhenUsed/>
    <w:rsid w:val="00594A52"/>
    <w:rPr>
      <w:sz w:val="16"/>
      <w:szCs w:val="16"/>
    </w:rPr>
  </w:style>
  <w:style w:type="paragraph" w:styleId="CommentSubject">
    <w:name w:val="annotation subject"/>
    <w:basedOn w:val="CommentText"/>
    <w:next w:val="CommentText"/>
    <w:link w:val="CommentSubjectChar"/>
    <w:uiPriority w:val="99"/>
    <w:semiHidden/>
    <w:unhideWhenUsed/>
    <w:rsid w:val="00CB1FB3"/>
    <w:rPr>
      <w:b/>
      <w:bCs/>
    </w:rPr>
  </w:style>
  <w:style w:type="character" w:customStyle="1" w:styleId="CommentSubjectChar">
    <w:name w:val="Comment Subject Char"/>
    <w:basedOn w:val="CommentTextChar"/>
    <w:link w:val="CommentSubject"/>
    <w:uiPriority w:val="99"/>
    <w:semiHidden/>
    <w:rsid w:val="00CB1F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9773">
      <w:bodyDiv w:val="1"/>
      <w:marLeft w:val="0"/>
      <w:marRight w:val="0"/>
      <w:marTop w:val="0"/>
      <w:marBottom w:val="0"/>
      <w:divBdr>
        <w:top w:val="none" w:sz="0" w:space="0" w:color="auto"/>
        <w:left w:val="none" w:sz="0" w:space="0" w:color="auto"/>
        <w:bottom w:val="none" w:sz="0" w:space="0" w:color="auto"/>
        <w:right w:val="none" w:sz="0" w:space="0" w:color="auto"/>
      </w:divBdr>
    </w:div>
    <w:div w:id="132258563">
      <w:bodyDiv w:val="1"/>
      <w:marLeft w:val="0"/>
      <w:marRight w:val="0"/>
      <w:marTop w:val="0"/>
      <w:marBottom w:val="0"/>
      <w:divBdr>
        <w:top w:val="none" w:sz="0" w:space="0" w:color="auto"/>
        <w:left w:val="none" w:sz="0" w:space="0" w:color="auto"/>
        <w:bottom w:val="none" w:sz="0" w:space="0" w:color="auto"/>
        <w:right w:val="none" w:sz="0" w:space="0" w:color="auto"/>
      </w:divBdr>
      <w:divsChild>
        <w:div w:id="88046182">
          <w:marLeft w:val="0"/>
          <w:marRight w:val="0"/>
          <w:marTop w:val="0"/>
          <w:marBottom w:val="0"/>
          <w:divBdr>
            <w:top w:val="none" w:sz="0" w:space="0" w:color="auto"/>
            <w:left w:val="none" w:sz="0" w:space="0" w:color="auto"/>
            <w:bottom w:val="none" w:sz="0" w:space="0" w:color="auto"/>
            <w:right w:val="none" w:sz="0" w:space="0" w:color="auto"/>
          </w:divBdr>
          <w:divsChild>
            <w:div w:id="83890915">
              <w:marLeft w:val="0"/>
              <w:marRight w:val="0"/>
              <w:marTop w:val="0"/>
              <w:marBottom w:val="0"/>
              <w:divBdr>
                <w:top w:val="none" w:sz="0" w:space="0" w:color="auto"/>
                <w:left w:val="none" w:sz="0" w:space="0" w:color="auto"/>
                <w:bottom w:val="none" w:sz="0" w:space="0" w:color="auto"/>
                <w:right w:val="none" w:sz="0" w:space="0" w:color="auto"/>
              </w:divBdr>
            </w:div>
            <w:div w:id="168179652">
              <w:marLeft w:val="0"/>
              <w:marRight w:val="0"/>
              <w:marTop w:val="0"/>
              <w:marBottom w:val="0"/>
              <w:divBdr>
                <w:top w:val="none" w:sz="0" w:space="0" w:color="auto"/>
                <w:left w:val="none" w:sz="0" w:space="0" w:color="auto"/>
                <w:bottom w:val="none" w:sz="0" w:space="0" w:color="auto"/>
                <w:right w:val="none" w:sz="0" w:space="0" w:color="auto"/>
              </w:divBdr>
            </w:div>
            <w:div w:id="189224352">
              <w:marLeft w:val="0"/>
              <w:marRight w:val="0"/>
              <w:marTop w:val="0"/>
              <w:marBottom w:val="0"/>
              <w:divBdr>
                <w:top w:val="none" w:sz="0" w:space="0" w:color="auto"/>
                <w:left w:val="none" w:sz="0" w:space="0" w:color="auto"/>
                <w:bottom w:val="none" w:sz="0" w:space="0" w:color="auto"/>
                <w:right w:val="none" w:sz="0" w:space="0" w:color="auto"/>
              </w:divBdr>
            </w:div>
            <w:div w:id="415789784">
              <w:marLeft w:val="0"/>
              <w:marRight w:val="0"/>
              <w:marTop w:val="0"/>
              <w:marBottom w:val="0"/>
              <w:divBdr>
                <w:top w:val="none" w:sz="0" w:space="0" w:color="auto"/>
                <w:left w:val="none" w:sz="0" w:space="0" w:color="auto"/>
                <w:bottom w:val="none" w:sz="0" w:space="0" w:color="auto"/>
                <w:right w:val="none" w:sz="0" w:space="0" w:color="auto"/>
              </w:divBdr>
            </w:div>
            <w:div w:id="758676642">
              <w:marLeft w:val="0"/>
              <w:marRight w:val="0"/>
              <w:marTop w:val="0"/>
              <w:marBottom w:val="0"/>
              <w:divBdr>
                <w:top w:val="none" w:sz="0" w:space="0" w:color="auto"/>
                <w:left w:val="none" w:sz="0" w:space="0" w:color="auto"/>
                <w:bottom w:val="none" w:sz="0" w:space="0" w:color="auto"/>
                <w:right w:val="none" w:sz="0" w:space="0" w:color="auto"/>
              </w:divBdr>
            </w:div>
            <w:div w:id="809595566">
              <w:marLeft w:val="0"/>
              <w:marRight w:val="0"/>
              <w:marTop w:val="0"/>
              <w:marBottom w:val="0"/>
              <w:divBdr>
                <w:top w:val="none" w:sz="0" w:space="0" w:color="auto"/>
                <w:left w:val="none" w:sz="0" w:space="0" w:color="auto"/>
                <w:bottom w:val="none" w:sz="0" w:space="0" w:color="auto"/>
                <w:right w:val="none" w:sz="0" w:space="0" w:color="auto"/>
              </w:divBdr>
            </w:div>
            <w:div w:id="867137747">
              <w:marLeft w:val="0"/>
              <w:marRight w:val="0"/>
              <w:marTop w:val="0"/>
              <w:marBottom w:val="0"/>
              <w:divBdr>
                <w:top w:val="none" w:sz="0" w:space="0" w:color="auto"/>
                <w:left w:val="none" w:sz="0" w:space="0" w:color="auto"/>
                <w:bottom w:val="none" w:sz="0" w:space="0" w:color="auto"/>
                <w:right w:val="none" w:sz="0" w:space="0" w:color="auto"/>
              </w:divBdr>
            </w:div>
            <w:div w:id="933132716">
              <w:marLeft w:val="0"/>
              <w:marRight w:val="0"/>
              <w:marTop w:val="0"/>
              <w:marBottom w:val="0"/>
              <w:divBdr>
                <w:top w:val="none" w:sz="0" w:space="0" w:color="auto"/>
                <w:left w:val="none" w:sz="0" w:space="0" w:color="auto"/>
                <w:bottom w:val="none" w:sz="0" w:space="0" w:color="auto"/>
                <w:right w:val="none" w:sz="0" w:space="0" w:color="auto"/>
              </w:divBdr>
            </w:div>
            <w:div w:id="944460813">
              <w:marLeft w:val="0"/>
              <w:marRight w:val="0"/>
              <w:marTop w:val="0"/>
              <w:marBottom w:val="0"/>
              <w:divBdr>
                <w:top w:val="none" w:sz="0" w:space="0" w:color="auto"/>
                <w:left w:val="none" w:sz="0" w:space="0" w:color="auto"/>
                <w:bottom w:val="none" w:sz="0" w:space="0" w:color="auto"/>
                <w:right w:val="none" w:sz="0" w:space="0" w:color="auto"/>
              </w:divBdr>
            </w:div>
            <w:div w:id="1125391754">
              <w:marLeft w:val="0"/>
              <w:marRight w:val="0"/>
              <w:marTop w:val="0"/>
              <w:marBottom w:val="0"/>
              <w:divBdr>
                <w:top w:val="none" w:sz="0" w:space="0" w:color="auto"/>
                <w:left w:val="none" w:sz="0" w:space="0" w:color="auto"/>
                <w:bottom w:val="none" w:sz="0" w:space="0" w:color="auto"/>
                <w:right w:val="none" w:sz="0" w:space="0" w:color="auto"/>
              </w:divBdr>
            </w:div>
            <w:div w:id="1184632585">
              <w:marLeft w:val="0"/>
              <w:marRight w:val="0"/>
              <w:marTop w:val="0"/>
              <w:marBottom w:val="0"/>
              <w:divBdr>
                <w:top w:val="none" w:sz="0" w:space="0" w:color="auto"/>
                <w:left w:val="none" w:sz="0" w:space="0" w:color="auto"/>
                <w:bottom w:val="none" w:sz="0" w:space="0" w:color="auto"/>
                <w:right w:val="none" w:sz="0" w:space="0" w:color="auto"/>
              </w:divBdr>
            </w:div>
            <w:div w:id="1386876353">
              <w:marLeft w:val="0"/>
              <w:marRight w:val="0"/>
              <w:marTop w:val="0"/>
              <w:marBottom w:val="0"/>
              <w:divBdr>
                <w:top w:val="none" w:sz="0" w:space="0" w:color="auto"/>
                <w:left w:val="none" w:sz="0" w:space="0" w:color="auto"/>
                <w:bottom w:val="none" w:sz="0" w:space="0" w:color="auto"/>
                <w:right w:val="none" w:sz="0" w:space="0" w:color="auto"/>
              </w:divBdr>
            </w:div>
            <w:div w:id="1466655032">
              <w:marLeft w:val="0"/>
              <w:marRight w:val="0"/>
              <w:marTop w:val="0"/>
              <w:marBottom w:val="0"/>
              <w:divBdr>
                <w:top w:val="none" w:sz="0" w:space="0" w:color="auto"/>
                <w:left w:val="none" w:sz="0" w:space="0" w:color="auto"/>
                <w:bottom w:val="none" w:sz="0" w:space="0" w:color="auto"/>
                <w:right w:val="none" w:sz="0" w:space="0" w:color="auto"/>
              </w:divBdr>
            </w:div>
            <w:div w:id="1571118267">
              <w:marLeft w:val="0"/>
              <w:marRight w:val="0"/>
              <w:marTop w:val="0"/>
              <w:marBottom w:val="0"/>
              <w:divBdr>
                <w:top w:val="none" w:sz="0" w:space="0" w:color="auto"/>
                <w:left w:val="none" w:sz="0" w:space="0" w:color="auto"/>
                <w:bottom w:val="none" w:sz="0" w:space="0" w:color="auto"/>
                <w:right w:val="none" w:sz="0" w:space="0" w:color="auto"/>
              </w:divBdr>
            </w:div>
            <w:div w:id="1760364703">
              <w:marLeft w:val="0"/>
              <w:marRight w:val="0"/>
              <w:marTop w:val="0"/>
              <w:marBottom w:val="0"/>
              <w:divBdr>
                <w:top w:val="none" w:sz="0" w:space="0" w:color="auto"/>
                <w:left w:val="none" w:sz="0" w:space="0" w:color="auto"/>
                <w:bottom w:val="none" w:sz="0" w:space="0" w:color="auto"/>
                <w:right w:val="none" w:sz="0" w:space="0" w:color="auto"/>
              </w:divBdr>
            </w:div>
            <w:div w:id="1786919264">
              <w:marLeft w:val="0"/>
              <w:marRight w:val="0"/>
              <w:marTop w:val="0"/>
              <w:marBottom w:val="0"/>
              <w:divBdr>
                <w:top w:val="none" w:sz="0" w:space="0" w:color="auto"/>
                <w:left w:val="none" w:sz="0" w:space="0" w:color="auto"/>
                <w:bottom w:val="none" w:sz="0" w:space="0" w:color="auto"/>
                <w:right w:val="none" w:sz="0" w:space="0" w:color="auto"/>
              </w:divBdr>
            </w:div>
            <w:div w:id="1956911579">
              <w:marLeft w:val="0"/>
              <w:marRight w:val="0"/>
              <w:marTop w:val="0"/>
              <w:marBottom w:val="0"/>
              <w:divBdr>
                <w:top w:val="none" w:sz="0" w:space="0" w:color="auto"/>
                <w:left w:val="none" w:sz="0" w:space="0" w:color="auto"/>
                <w:bottom w:val="none" w:sz="0" w:space="0" w:color="auto"/>
                <w:right w:val="none" w:sz="0" w:space="0" w:color="auto"/>
              </w:divBdr>
            </w:div>
            <w:div w:id="2094736456">
              <w:marLeft w:val="0"/>
              <w:marRight w:val="0"/>
              <w:marTop w:val="0"/>
              <w:marBottom w:val="0"/>
              <w:divBdr>
                <w:top w:val="none" w:sz="0" w:space="0" w:color="auto"/>
                <w:left w:val="none" w:sz="0" w:space="0" w:color="auto"/>
                <w:bottom w:val="none" w:sz="0" w:space="0" w:color="auto"/>
                <w:right w:val="none" w:sz="0" w:space="0" w:color="auto"/>
              </w:divBdr>
            </w:div>
            <w:div w:id="2125341775">
              <w:marLeft w:val="0"/>
              <w:marRight w:val="0"/>
              <w:marTop w:val="0"/>
              <w:marBottom w:val="0"/>
              <w:divBdr>
                <w:top w:val="none" w:sz="0" w:space="0" w:color="auto"/>
                <w:left w:val="none" w:sz="0" w:space="0" w:color="auto"/>
                <w:bottom w:val="none" w:sz="0" w:space="0" w:color="auto"/>
                <w:right w:val="none" w:sz="0" w:space="0" w:color="auto"/>
              </w:divBdr>
            </w:div>
            <w:div w:id="2142266370">
              <w:marLeft w:val="0"/>
              <w:marRight w:val="0"/>
              <w:marTop w:val="0"/>
              <w:marBottom w:val="0"/>
              <w:divBdr>
                <w:top w:val="none" w:sz="0" w:space="0" w:color="auto"/>
                <w:left w:val="none" w:sz="0" w:space="0" w:color="auto"/>
                <w:bottom w:val="none" w:sz="0" w:space="0" w:color="auto"/>
                <w:right w:val="none" w:sz="0" w:space="0" w:color="auto"/>
              </w:divBdr>
            </w:div>
          </w:divsChild>
        </w:div>
        <w:div w:id="427770857">
          <w:marLeft w:val="0"/>
          <w:marRight w:val="0"/>
          <w:marTop w:val="0"/>
          <w:marBottom w:val="0"/>
          <w:divBdr>
            <w:top w:val="none" w:sz="0" w:space="0" w:color="auto"/>
            <w:left w:val="none" w:sz="0" w:space="0" w:color="auto"/>
            <w:bottom w:val="none" w:sz="0" w:space="0" w:color="auto"/>
            <w:right w:val="none" w:sz="0" w:space="0" w:color="auto"/>
          </w:divBdr>
          <w:divsChild>
            <w:div w:id="43675076">
              <w:marLeft w:val="0"/>
              <w:marRight w:val="0"/>
              <w:marTop w:val="0"/>
              <w:marBottom w:val="0"/>
              <w:divBdr>
                <w:top w:val="none" w:sz="0" w:space="0" w:color="auto"/>
                <w:left w:val="none" w:sz="0" w:space="0" w:color="auto"/>
                <w:bottom w:val="none" w:sz="0" w:space="0" w:color="auto"/>
                <w:right w:val="none" w:sz="0" w:space="0" w:color="auto"/>
              </w:divBdr>
            </w:div>
            <w:div w:id="65498393">
              <w:marLeft w:val="0"/>
              <w:marRight w:val="0"/>
              <w:marTop w:val="0"/>
              <w:marBottom w:val="0"/>
              <w:divBdr>
                <w:top w:val="none" w:sz="0" w:space="0" w:color="auto"/>
                <w:left w:val="none" w:sz="0" w:space="0" w:color="auto"/>
                <w:bottom w:val="none" w:sz="0" w:space="0" w:color="auto"/>
                <w:right w:val="none" w:sz="0" w:space="0" w:color="auto"/>
              </w:divBdr>
            </w:div>
            <w:div w:id="112942177">
              <w:marLeft w:val="0"/>
              <w:marRight w:val="0"/>
              <w:marTop w:val="0"/>
              <w:marBottom w:val="0"/>
              <w:divBdr>
                <w:top w:val="none" w:sz="0" w:space="0" w:color="auto"/>
                <w:left w:val="none" w:sz="0" w:space="0" w:color="auto"/>
                <w:bottom w:val="none" w:sz="0" w:space="0" w:color="auto"/>
                <w:right w:val="none" w:sz="0" w:space="0" w:color="auto"/>
              </w:divBdr>
            </w:div>
            <w:div w:id="116795611">
              <w:marLeft w:val="0"/>
              <w:marRight w:val="0"/>
              <w:marTop w:val="0"/>
              <w:marBottom w:val="0"/>
              <w:divBdr>
                <w:top w:val="none" w:sz="0" w:space="0" w:color="auto"/>
                <w:left w:val="none" w:sz="0" w:space="0" w:color="auto"/>
                <w:bottom w:val="none" w:sz="0" w:space="0" w:color="auto"/>
                <w:right w:val="none" w:sz="0" w:space="0" w:color="auto"/>
              </w:divBdr>
            </w:div>
            <w:div w:id="448856594">
              <w:marLeft w:val="0"/>
              <w:marRight w:val="0"/>
              <w:marTop w:val="0"/>
              <w:marBottom w:val="0"/>
              <w:divBdr>
                <w:top w:val="none" w:sz="0" w:space="0" w:color="auto"/>
                <w:left w:val="none" w:sz="0" w:space="0" w:color="auto"/>
                <w:bottom w:val="none" w:sz="0" w:space="0" w:color="auto"/>
                <w:right w:val="none" w:sz="0" w:space="0" w:color="auto"/>
              </w:divBdr>
            </w:div>
            <w:div w:id="532159958">
              <w:marLeft w:val="0"/>
              <w:marRight w:val="0"/>
              <w:marTop w:val="0"/>
              <w:marBottom w:val="0"/>
              <w:divBdr>
                <w:top w:val="none" w:sz="0" w:space="0" w:color="auto"/>
                <w:left w:val="none" w:sz="0" w:space="0" w:color="auto"/>
                <w:bottom w:val="none" w:sz="0" w:space="0" w:color="auto"/>
                <w:right w:val="none" w:sz="0" w:space="0" w:color="auto"/>
              </w:divBdr>
            </w:div>
            <w:div w:id="690297124">
              <w:marLeft w:val="0"/>
              <w:marRight w:val="0"/>
              <w:marTop w:val="0"/>
              <w:marBottom w:val="0"/>
              <w:divBdr>
                <w:top w:val="none" w:sz="0" w:space="0" w:color="auto"/>
                <w:left w:val="none" w:sz="0" w:space="0" w:color="auto"/>
                <w:bottom w:val="none" w:sz="0" w:space="0" w:color="auto"/>
                <w:right w:val="none" w:sz="0" w:space="0" w:color="auto"/>
              </w:divBdr>
            </w:div>
            <w:div w:id="766384593">
              <w:marLeft w:val="0"/>
              <w:marRight w:val="0"/>
              <w:marTop w:val="0"/>
              <w:marBottom w:val="0"/>
              <w:divBdr>
                <w:top w:val="none" w:sz="0" w:space="0" w:color="auto"/>
                <w:left w:val="none" w:sz="0" w:space="0" w:color="auto"/>
                <w:bottom w:val="none" w:sz="0" w:space="0" w:color="auto"/>
                <w:right w:val="none" w:sz="0" w:space="0" w:color="auto"/>
              </w:divBdr>
            </w:div>
            <w:div w:id="770129928">
              <w:marLeft w:val="0"/>
              <w:marRight w:val="0"/>
              <w:marTop w:val="0"/>
              <w:marBottom w:val="0"/>
              <w:divBdr>
                <w:top w:val="none" w:sz="0" w:space="0" w:color="auto"/>
                <w:left w:val="none" w:sz="0" w:space="0" w:color="auto"/>
                <w:bottom w:val="none" w:sz="0" w:space="0" w:color="auto"/>
                <w:right w:val="none" w:sz="0" w:space="0" w:color="auto"/>
              </w:divBdr>
            </w:div>
            <w:div w:id="925529404">
              <w:marLeft w:val="0"/>
              <w:marRight w:val="0"/>
              <w:marTop w:val="0"/>
              <w:marBottom w:val="0"/>
              <w:divBdr>
                <w:top w:val="none" w:sz="0" w:space="0" w:color="auto"/>
                <w:left w:val="none" w:sz="0" w:space="0" w:color="auto"/>
                <w:bottom w:val="none" w:sz="0" w:space="0" w:color="auto"/>
                <w:right w:val="none" w:sz="0" w:space="0" w:color="auto"/>
              </w:divBdr>
            </w:div>
            <w:div w:id="935749789">
              <w:marLeft w:val="0"/>
              <w:marRight w:val="0"/>
              <w:marTop w:val="0"/>
              <w:marBottom w:val="0"/>
              <w:divBdr>
                <w:top w:val="none" w:sz="0" w:space="0" w:color="auto"/>
                <w:left w:val="none" w:sz="0" w:space="0" w:color="auto"/>
                <w:bottom w:val="none" w:sz="0" w:space="0" w:color="auto"/>
                <w:right w:val="none" w:sz="0" w:space="0" w:color="auto"/>
              </w:divBdr>
            </w:div>
            <w:div w:id="1193226211">
              <w:marLeft w:val="0"/>
              <w:marRight w:val="0"/>
              <w:marTop w:val="0"/>
              <w:marBottom w:val="0"/>
              <w:divBdr>
                <w:top w:val="none" w:sz="0" w:space="0" w:color="auto"/>
                <w:left w:val="none" w:sz="0" w:space="0" w:color="auto"/>
                <w:bottom w:val="none" w:sz="0" w:space="0" w:color="auto"/>
                <w:right w:val="none" w:sz="0" w:space="0" w:color="auto"/>
              </w:divBdr>
            </w:div>
            <w:div w:id="1347093413">
              <w:marLeft w:val="0"/>
              <w:marRight w:val="0"/>
              <w:marTop w:val="0"/>
              <w:marBottom w:val="0"/>
              <w:divBdr>
                <w:top w:val="none" w:sz="0" w:space="0" w:color="auto"/>
                <w:left w:val="none" w:sz="0" w:space="0" w:color="auto"/>
                <w:bottom w:val="none" w:sz="0" w:space="0" w:color="auto"/>
                <w:right w:val="none" w:sz="0" w:space="0" w:color="auto"/>
              </w:divBdr>
            </w:div>
            <w:div w:id="1460108525">
              <w:marLeft w:val="0"/>
              <w:marRight w:val="0"/>
              <w:marTop w:val="0"/>
              <w:marBottom w:val="0"/>
              <w:divBdr>
                <w:top w:val="none" w:sz="0" w:space="0" w:color="auto"/>
                <w:left w:val="none" w:sz="0" w:space="0" w:color="auto"/>
                <w:bottom w:val="none" w:sz="0" w:space="0" w:color="auto"/>
                <w:right w:val="none" w:sz="0" w:space="0" w:color="auto"/>
              </w:divBdr>
            </w:div>
            <w:div w:id="1478650663">
              <w:marLeft w:val="0"/>
              <w:marRight w:val="0"/>
              <w:marTop w:val="0"/>
              <w:marBottom w:val="0"/>
              <w:divBdr>
                <w:top w:val="none" w:sz="0" w:space="0" w:color="auto"/>
                <w:left w:val="none" w:sz="0" w:space="0" w:color="auto"/>
                <w:bottom w:val="none" w:sz="0" w:space="0" w:color="auto"/>
                <w:right w:val="none" w:sz="0" w:space="0" w:color="auto"/>
              </w:divBdr>
            </w:div>
            <w:div w:id="1737973937">
              <w:marLeft w:val="0"/>
              <w:marRight w:val="0"/>
              <w:marTop w:val="0"/>
              <w:marBottom w:val="0"/>
              <w:divBdr>
                <w:top w:val="none" w:sz="0" w:space="0" w:color="auto"/>
                <w:left w:val="none" w:sz="0" w:space="0" w:color="auto"/>
                <w:bottom w:val="none" w:sz="0" w:space="0" w:color="auto"/>
                <w:right w:val="none" w:sz="0" w:space="0" w:color="auto"/>
              </w:divBdr>
            </w:div>
            <w:div w:id="1816340301">
              <w:marLeft w:val="0"/>
              <w:marRight w:val="0"/>
              <w:marTop w:val="0"/>
              <w:marBottom w:val="0"/>
              <w:divBdr>
                <w:top w:val="none" w:sz="0" w:space="0" w:color="auto"/>
                <w:left w:val="none" w:sz="0" w:space="0" w:color="auto"/>
                <w:bottom w:val="none" w:sz="0" w:space="0" w:color="auto"/>
                <w:right w:val="none" w:sz="0" w:space="0" w:color="auto"/>
              </w:divBdr>
            </w:div>
            <w:div w:id="1945650757">
              <w:marLeft w:val="0"/>
              <w:marRight w:val="0"/>
              <w:marTop w:val="0"/>
              <w:marBottom w:val="0"/>
              <w:divBdr>
                <w:top w:val="none" w:sz="0" w:space="0" w:color="auto"/>
                <w:left w:val="none" w:sz="0" w:space="0" w:color="auto"/>
                <w:bottom w:val="none" w:sz="0" w:space="0" w:color="auto"/>
                <w:right w:val="none" w:sz="0" w:space="0" w:color="auto"/>
              </w:divBdr>
            </w:div>
            <w:div w:id="2111926896">
              <w:marLeft w:val="0"/>
              <w:marRight w:val="0"/>
              <w:marTop w:val="0"/>
              <w:marBottom w:val="0"/>
              <w:divBdr>
                <w:top w:val="none" w:sz="0" w:space="0" w:color="auto"/>
                <w:left w:val="none" w:sz="0" w:space="0" w:color="auto"/>
                <w:bottom w:val="none" w:sz="0" w:space="0" w:color="auto"/>
                <w:right w:val="none" w:sz="0" w:space="0" w:color="auto"/>
              </w:divBdr>
            </w:div>
            <w:div w:id="2121221470">
              <w:marLeft w:val="0"/>
              <w:marRight w:val="0"/>
              <w:marTop w:val="0"/>
              <w:marBottom w:val="0"/>
              <w:divBdr>
                <w:top w:val="none" w:sz="0" w:space="0" w:color="auto"/>
                <w:left w:val="none" w:sz="0" w:space="0" w:color="auto"/>
                <w:bottom w:val="none" w:sz="0" w:space="0" w:color="auto"/>
                <w:right w:val="none" w:sz="0" w:space="0" w:color="auto"/>
              </w:divBdr>
            </w:div>
          </w:divsChild>
        </w:div>
        <w:div w:id="1805807931">
          <w:marLeft w:val="0"/>
          <w:marRight w:val="0"/>
          <w:marTop w:val="0"/>
          <w:marBottom w:val="0"/>
          <w:divBdr>
            <w:top w:val="none" w:sz="0" w:space="0" w:color="auto"/>
            <w:left w:val="none" w:sz="0" w:space="0" w:color="auto"/>
            <w:bottom w:val="none" w:sz="0" w:space="0" w:color="auto"/>
            <w:right w:val="none" w:sz="0" w:space="0" w:color="auto"/>
          </w:divBdr>
          <w:divsChild>
            <w:div w:id="383338093">
              <w:marLeft w:val="0"/>
              <w:marRight w:val="0"/>
              <w:marTop w:val="0"/>
              <w:marBottom w:val="0"/>
              <w:divBdr>
                <w:top w:val="none" w:sz="0" w:space="0" w:color="auto"/>
                <w:left w:val="none" w:sz="0" w:space="0" w:color="auto"/>
                <w:bottom w:val="none" w:sz="0" w:space="0" w:color="auto"/>
                <w:right w:val="none" w:sz="0" w:space="0" w:color="auto"/>
              </w:divBdr>
            </w:div>
            <w:div w:id="425149507">
              <w:marLeft w:val="0"/>
              <w:marRight w:val="0"/>
              <w:marTop w:val="0"/>
              <w:marBottom w:val="0"/>
              <w:divBdr>
                <w:top w:val="none" w:sz="0" w:space="0" w:color="auto"/>
                <w:left w:val="none" w:sz="0" w:space="0" w:color="auto"/>
                <w:bottom w:val="none" w:sz="0" w:space="0" w:color="auto"/>
                <w:right w:val="none" w:sz="0" w:space="0" w:color="auto"/>
              </w:divBdr>
            </w:div>
            <w:div w:id="533466517">
              <w:marLeft w:val="0"/>
              <w:marRight w:val="0"/>
              <w:marTop w:val="0"/>
              <w:marBottom w:val="0"/>
              <w:divBdr>
                <w:top w:val="none" w:sz="0" w:space="0" w:color="auto"/>
                <w:left w:val="none" w:sz="0" w:space="0" w:color="auto"/>
                <w:bottom w:val="none" w:sz="0" w:space="0" w:color="auto"/>
                <w:right w:val="none" w:sz="0" w:space="0" w:color="auto"/>
              </w:divBdr>
            </w:div>
            <w:div w:id="778642737">
              <w:marLeft w:val="0"/>
              <w:marRight w:val="0"/>
              <w:marTop w:val="0"/>
              <w:marBottom w:val="0"/>
              <w:divBdr>
                <w:top w:val="none" w:sz="0" w:space="0" w:color="auto"/>
                <w:left w:val="none" w:sz="0" w:space="0" w:color="auto"/>
                <w:bottom w:val="none" w:sz="0" w:space="0" w:color="auto"/>
                <w:right w:val="none" w:sz="0" w:space="0" w:color="auto"/>
              </w:divBdr>
            </w:div>
            <w:div w:id="821853503">
              <w:marLeft w:val="0"/>
              <w:marRight w:val="0"/>
              <w:marTop w:val="0"/>
              <w:marBottom w:val="0"/>
              <w:divBdr>
                <w:top w:val="none" w:sz="0" w:space="0" w:color="auto"/>
                <w:left w:val="none" w:sz="0" w:space="0" w:color="auto"/>
                <w:bottom w:val="none" w:sz="0" w:space="0" w:color="auto"/>
                <w:right w:val="none" w:sz="0" w:space="0" w:color="auto"/>
              </w:divBdr>
            </w:div>
            <w:div w:id="928001637">
              <w:marLeft w:val="0"/>
              <w:marRight w:val="0"/>
              <w:marTop w:val="0"/>
              <w:marBottom w:val="0"/>
              <w:divBdr>
                <w:top w:val="none" w:sz="0" w:space="0" w:color="auto"/>
                <w:left w:val="none" w:sz="0" w:space="0" w:color="auto"/>
                <w:bottom w:val="none" w:sz="0" w:space="0" w:color="auto"/>
                <w:right w:val="none" w:sz="0" w:space="0" w:color="auto"/>
              </w:divBdr>
            </w:div>
            <w:div w:id="1132213545">
              <w:marLeft w:val="0"/>
              <w:marRight w:val="0"/>
              <w:marTop w:val="0"/>
              <w:marBottom w:val="0"/>
              <w:divBdr>
                <w:top w:val="none" w:sz="0" w:space="0" w:color="auto"/>
                <w:left w:val="none" w:sz="0" w:space="0" w:color="auto"/>
                <w:bottom w:val="none" w:sz="0" w:space="0" w:color="auto"/>
                <w:right w:val="none" w:sz="0" w:space="0" w:color="auto"/>
              </w:divBdr>
            </w:div>
            <w:div w:id="1513106151">
              <w:marLeft w:val="0"/>
              <w:marRight w:val="0"/>
              <w:marTop w:val="0"/>
              <w:marBottom w:val="0"/>
              <w:divBdr>
                <w:top w:val="none" w:sz="0" w:space="0" w:color="auto"/>
                <w:left w:val="none" w:sz="0" w:space="0" w:color="auto"/>
                <w:bottom w:val="none" w:sz="0" w:space="0" w:color="auto"/>
                <w:right w:val="none" w:sz="0" w:space="0" w:color="auto"/>
              </w:divBdr>
            </w:div>
            <w:div w:id="1517233156">
              <w:marLeft w:val="0"/>
              <w:marRight w:val="0"/>
              <w:marTop w:val="0"/>
              <w:marBottom w:val="0"/>
              <w:divBdr>
                <w:top w:val="none" w:sz="0" w:space="0" w:color="auto"/>
                <w:left w:val="none" w:sz="0" w:space="0" w:color="auto"/>
                <w:bottom w:val="none" w:sz="0" w:space="0" w:color="auto"/>
                <w:right w:val="none" w:sz="0" w:space="0" w:color="auto"/>
              </w:divBdr>
            </w:div>
            <w:div w:id="1642271529">
              <w:marLeft w:val="0"/>
              <w:marRight w:val="0"/>
              <w:marTop w:val="0"/>
              <w:marBottom w:val="0"/>
              <w:divBdr>
                <w:top w:val="none" w:sz="0" w:space="0" w:color="auto"/>
                <w:left w:val="none" w:sz="0" w:space="0" w:color="auto"/>
                <w:bottom w:val="none" w:sz="0" w:space="0" w:color="auto"/>
                <w:right w:val="none" w:sz="0" w:space="0" w:color="auto"/>
              </w:divBdr>
            </w:div>
            <w:div w:id="1714572028">
              <w:marLeft w:val="0"/>
              <w:marRight w:val="0"/>
              <w:marTop w:val="0"/>
              <w:marBottom w:val="0"/>
              <w:divBdr>
                <w:top w:val="none" w:sz="0" w:space="0" w:color="auto"/>
                <w:left w:val="none" w:sz="0" w:space="0" w:color="auto"/>
                <w:bottom w:val="none" w:sz="0" w:space="0" w:color="auto"/>
                <w:right w:val="none" w:sz="0" w:space="0" w:color="auto"/>
              </w:divBdr>
            </w:div>
            <w:div w:id="1758599266">
              <w:marLeft w:val="0"/>
              <w:marRight w:val="0"/>
              <w:marTop w:val="0"/>
              <w:marBottom w:val="0"/>
              <w:divBdr>
                <w:top w:val="none" w:sz="0" w:space="0" w:color="auto"/>
                <w:left w:val="none" w:sz="0" w:space="0" w:color="auto"/>
                <w:bottom w:val="none" w:sz="0" w:space="0" w:color="auto"/>
                <w:right w:val="none" w:sz="0" w:space="0" w:color="auto"/>
              </w:divBdr>
            </w:div>
            <w:div w:id="20598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3400">
      <w:bodyDiv w:val="1"/>
      <w:marLeft w:val="0"/>
      <w:marRight w:val="0"/>
      <w:marTop w:val="0"/>
      <w:marBottom w:val="0"/>
      <w:divBdr>
        <w:top w:val="none" w:sz="0" w:space="0" w:color="auto"/>
        <w:left w:val="none" w:sz="0" w:space="0" w:color="auto"/>
        <w:bottom w:val="none" w:sz="0" w:space="0" w:color="auto"/>
        <w:right w:val="none" w:sz="0" w:space="0" w:color="auto"/>
      </w:divBdr>
    </w:div>
    <w:div w:id="680663385">
      <w:bodyDiv w:val="1"/>
      <w:marLeft w:val="0"/>
      <w:marRight w:val="0"/>
      <w:marTop w:val="0"/>
      <w:marBottom w:val="0"/>
      <w:divBdr>
        <w:top w:val="none" w:sz="0" w:space="0" w:color="auto"/>
        <w:left w:val="none" w:sz="0" w:space="0" w:color="auto"/>
        <w:bottom w:val="none" w:sz="0" w:space="0" w:color="auto"/>
        <w:right w:val="none" w:sz="0" w:space="0" w:color="auto"/>
      </w:divBdr>
    </w:div>
    <w:div w:id="1740906273">
      <w:bodyDiv w:val="1"/>
      <w:marLeft w:val="0"/>
      <w:marRight w:val="0"/>
      <w:marTop w:val="0"/>
      <w:marBottom w:val="0"/>
      <w:divBdr>
        <w:top w:val="none" w:sz="0" w:space="0" w:color="auto"/>
        <w:left w:val="none" w:sz="0" w:space="0" w:color="auto"/>
        <w:bottom w:val="none" w:sz="0" w:space="0" w:color="auto"/>
        <w:right w:val="none" w:sz="0" w:space="0" w:color="auto"/>
      </w:divBdr>
      <w:divsChild>
        <w:div w:id="468014063">
          <w:marLeft w:val="0"/>
          <w:marRight w:val="0"/>
          <w:marTop w:val="0"/>
          <w:marBottom w:val="0"/>
          <w:divBdr>
            <w:top w:val="none" w:sz="0" w:space="0" w:color="auto"/>
            <w:left w:val="none" w:sz="0" w:space="0" w:color="auto"/>
            <w:bottom w:val="none" w:sz="0" w:space="0" w:color="auto"/>
            <w:right w:val="none" w:sz="0" w:space="0" w:color="auto"/>
          </w:divBdr>
        </w:div>
        <w:div w:id="200944145">
          <w:marLeft w:val="0"/>
          <w:marRight w:val="0"/>
          <w:marTop w:val="0"/>
          <w:marBottom w:val="0"/>
          <w:divBdr>
            <w:top w:val="none" w:sz="0" w:space="0" w:color="auto"/>
            <w:left w:val="none" w:sz="0" w:space="0" w:color="auto"/>
            <w:bottom w:val="none" w:sz="0" w:space="0" w:color="auto"/>
            <w:right w:val="none" w:sz="0" w:space="0" w:color="auto"/>
          </w:divBdr>
        </w:div>
      </w:divsChild>
    </w:div>
    <w:div w:id="1804107562">
      <w:bodyDiv w:val="1"/>
      <w:marLeft w:val="0"/>
      <w:marRight w:val="0"/>
      <w:marTop w:val="0"/>
      <w:marBottom w:val="0"/>
      <w:divBdr>
        <w:top w:val="none" w:sz="0" w:space="0" w:color="auto"/>
        <w:left w:val="none" w:sz="0" w:space="0" w:color="auto"/>
        <w:bottom w:val="none" w:sz="0" w:space="0" w:color="auto"/>
        <w:right w:val="none" w:sz="0" w:space="0" w:color="auto"/>
      </w:divBdr>
      <w:divsChild>
        <w:div w:id="1469084913">
          <w:marLeft w:val="0"/>
          <w:marRight w:val="0"/>
          <w:marTop w:val="0"/>
          <w:marBottom w:val="0"/>
          <w:divBdr>
            <w:top w:val="none" w:sz="0" w:space="0" w:color="auto"/>
            <w:left w:val="none" w:sz="0" w:space="0" w:color="auto"/>
            <w:bottom w:val="none" w:sz="0" w:space="0" w:color="auto"/>
            <w:right w:val="none" w:sz="0" w:space="0" w:color="auto"/>
          </w:divBdr>
        </w:div>
        <w:div w:id="1632982328">
          <w:marLeft w:val="0"/>
          <w:marRight w:val="0"/>
          <w:marTop w:val="0"/>
          <w:marBottom w:val="0"/>
          <w:divBdr>
            <w:top w:val="none" w:sz="0" w:space="0" w:color="auto"/>
            <w:left w:val="none" w:sz="0" w:space="0" w:color="auto"/>
            <w:bottom w:val="none" w:sz="0" w:space="0" w:color="auto"/>
            <w:right w:val="none" w:sz="0" w:space="0" w:color="auto"/>
          </w:divBdr>
        </w:div>
      </w:divsChild>
    </w:div>
    <w:div w:id="1823231815">
      <w:bodyDiv w:val="1"/>
      <w:marLeft w:val="0"/>
      <w:marRight w:val="0"/>
      <w:marTop w:val="0"/>
      <w:marBottom w:val="0"/>
      <w:divBdr>
        <w:top w:val="none" w:sz="0" w:space="0" w:color="auto"/>
        <w:left w:val="none" w:sz="0" w:space="0" w:color="auto"/>
        <w:bottom w:val="none" w:sz="0" w:space="0" w:color="auto"/>
        <w:right w:val="none" w:sz="0" w:space="0" w:color="auto"/>
      </w:divBdr>
      <w:divsChild>
        <w:div w:id="576406415">
          <w:marLeft w:val="0"/>
          <w:marRight w:val="0"/>
          <w:marTop w:val="0"/>
          <w:marBottom w:val="0"/>
          <w:divBdr>
            <w:top w:val="none" w:sz="0" w:space="0" w:color="auto"/>
            <w:left w:val="none" w:sz="0" w:space="0" w:color="auto"/>
            <w:bottom w:val="none" w:sz="0" w:space="0" w:color="auto"/>
            <w:right w:val="none" w:sz="0" w:space="0" w:color="auto"/>
          </w:divBdr>
          <w:divsChild>
            <w:div w:id="57635078">
              <w:marLeft w:val="0"/>
              <w:marRight w:val="0"/>
              <w:marTop w:val="0"/>
              <w:marBottom w:val="0"/>
              <w:divBdr>
                <w:top w:val="none" w:sz="0" w:space="0" w:color="auto"/>
                <w:left w:val="none" w:sz="0" w:space="0" w:color="auto"/>
                <w:bottom w:val="none" w:sz="0" w:space="0" w:color="auto"/>
                <w:right w:val="none" w:sz="0" w:space="0" w:color="auto"/>
              </w:divBdr>
            </w:div>
            <w:div w:id="370346376">
              <w:marLeft w:val="0"/>
              <w:marRight w:val="0"/>
              <w:marTop w:val="0"/>
              <w:marBottom w:val="0"/>
              <w:divBdr>
                <w:top w:val="none" w:sz="0" w:space="0" w:color="auto"/>
                <w:left w:val="none" w:sz="0" w:space="0" w:color="auto"/>
                <w:bottom w:val="none" w:sz="0" w:space="0" w:color="auto"/>
                <w:right w:val="none" w:sz="0" w:space="0" w:color="auto"/>
              </w:divBdr>
            </w:div>
            <w:div w:id="475882068">
              <w:marLeft w:val="0"/>
              <w:marRight w:val="0"/>
              <w:marTop w:val="0"/>
              <w:marBottom w:val="0"/>
              <w:divBdr>
                <w:top w:val="none" w:sz="0" w:space="0" w:color="auto"/>
                <w:left w:val="none" w:sz="0" w:space="0" w:color="auto"/>
                <w:bottom w:val="none" w:sz="0" w:space="0" w:color="auto"/>
                <w:right w:val="none" w:sz="0" w:space="0" w:color="auto"/>
              </w:divBdr>
            </w:div>
            <w:div w:id="713652312">
              <w:marLeft w:val="0"/>
              <w:marRight w:val="0"/>
              <w:marTop w:val="0"/>
              <w:marBottom w:val="0"/>
              <w:divBdr>
                <w:top w:val="none" w:sz="0" w:space="0" w:color="auto"/>
                <w:left w:val="none" w:sz="0" w:space="0" w:color="auto"/>
                <w:bottom w:val="none" w:sz="0" w:space="0" w:color="auto"/>
                <w:right w:val="none" w:sz="0" w:space="0" w:color="auto"/>
              </w:divBdr>
            </w:div>
            <w:div w:id="973146101">
              <w:marLeft w:val="0"/>
              <w:marRight w:val="0"/>
              <w:marTop w:val="0"/>
              <w:marBottom w:val="0"/>
              <w:divBdr>
                <w:top w:val="none" w:sz="0" w:space="0" w:color="auto"/>
                <w:left w:val="none" w:sz="0" w:space="0" w:color="auto"/>
                <w:bottom w:val="none" w:sz="0" w:space="0" w:color="auto"/>
                <w:right w:val="none" w:sz="0" w:space="0" w:color="auto"/>
              </w:divBdr>
            </w:div>
            <w:div w:id="1002783944">
              <w:marLeft w:val="0"/>
              <w:marRight w:val="0"/>
              <w:marTop w:val="0"/>
              <w:marBottom w:val="0"/>
              <w:divBdr>
                <w:top w:val="none" w:sz="0" w:space="0" w:color="auto"/>
                <w:left w:val="none" w:sz="0" w:space="0" w:color="auto"/>
                <w:bottom w:val="none" w:sz="0" w:space="0" w:color="auto"/>
                <w:right w:val="none" w:sz="0" w:space="0" w:color="auto"/>
              </w:divBdr>
            </w:div>
            <w:div w:id="1173833039">
              <w:marLeft w:val="0"/>
              <w:marRight w:val="0"/>
              <w:marTop w:val="0"/>
              <w:marBottom w:val="0"/>
              <w:divBdr>
                <w:top w:val="none" w:sz="0" w:space="0" w:color="auto"/>
                <w:left w:val="none" w:sz="0" w:space="0" w:color="auto"/>
                <w:bottom w:val="none" w:sz="0" w:space="0" w:color="auto"/>
                <w:right w:val="none" w:sz="0" w:space="0" w:color="auto"/>
              </w:divBdr>
            </w:div>
            <w:div w:id="1208109696">
              <w:marLeft w:val="0"/>
              <w:marRight w:val="0"/>
              <w:marTop w:val="0"/>
              <w:marBottom w:val="0"/>
              <w:divBdr>
                <w:top w:val="none" w:sz="0" w:space="0" w:color="auto"/>
                <w:left w:val="none" w:sz="0" w:space="0" w:color="auto"/>
                <w:bottom w:val="none" w:sz="0" w:space="0" w:color="auto"/>
                <w:right w:val="none" w:sz="0" w:space="0" w:color="auto"/>
              </w:divBdr>
            </w:div>
            <w:div w:id="1215969216">
              <w:marLeft w:val="0"/>
              <w:marRight w:val="0"/>
              <w:marTop w:val="0"/>
              <w:marBottom w:val="0"/>
              <w:divBdr>
                <w:top w:val="none" w:sz="0" w:space="0" w:color="auto"/>
                <w:left w:val="none" w:sz="0" w:space="0" w:color="auto"/>
                <w:bottom w:val="none" w:sz="0" w:space="0" w:color="auto"/>
                <w:right w:val="none" w:sz="0" w:space="0" w:color="auto"/>
              </w:divBdr>
            </w:div>
            <w:div w:id="1442915213">
              <w:marLeft w:val="0"/>
              <w:marRight w:val="0"/>
              <w:marTop w:val="0"/>
              <w:marBottom w:val="0"/>
              <w:divBdr>
                <w:top w:val="none" w:sz="0" w:space="0" w:color="auto"/>
                <w:left w:val="none" w:sz="0" w:space="0" w:color="auto"/>
                <w:bottom w:val="none" w:sz="0" w:space="0" w:color="auto"/>
                <w:right w:val="none" w:sz="0" w:space="0" w:color="auto"/>
              </w:divBdr>
            </w:div>
            <w:div w:id="1800298127">
              <w:marLeft w:val="0"/>
              <w:marRight w:val="0"/>
              <w:marTop w:val="0"/>
              <w:marBottom w:val="0"/>
              <w:divBdr>
                <w:top w:val="none" w:sz="0" w:space="0" w:color="auto"/>
                <w:left w:val="none" w:sz="0" w:space="0" w:color="auto"/>
                <w:bottom w:val="none" w:sz="0" w:space="0" w:color="auto"/>
                <w:right w:val="none" w:sz="0" w:space="0" w:color="auto"/>
              </w:divBdr>
            </w:div>
            <w:div w:id="1852334916">
              <w:marLeft w:val="0"/>
              <w:marRight w:val="0"/>
              <w:marTop w:val="0"/>
              <w:marBottom w:val="0"/>
              <w:divBdr>
                <w:top w:val="none" w:sz="0" w:space="0" w:color="auto"/>
                <w:left w:val="none" w:sz="0" w:space="0" w:color="auto"/>
                <w:bottom w:val="none" w:sz="0" w:space="0" w:color="auto"/>
                <w:right w:val="none" w:sz="0" w:space="0" w:color="auto"/>
              </w:divBdr>
            </w:div>
            <w:div w:id="1875196279">
              <w:marLeft w:val="0"/>
              <w:marRight w:val="0"/>
              <w:marTop w:val="0"/>
              <w:marBottom w:val="0"/>
              <w:divBdr>
                <w:top w:val="none" w:sz="0" w:space="0" w:color="auto"/>
                <w:left w:val="none" w:sz="0" w:space="0" w:color="auto"/>
                <w:bottom w:val="none" w:sz="0" w:space="0" w:color="auto"/>
                <w:right w:val="none" w:sz="0" w:space="0" w:color="auto"/>
              </w:divBdr>
            </w:div>
          </w:divsChild>
        </w:div>
        <w:div w:id="784007654">
          <w:marLeft w:val="0"/>
          <w:marRight w:val="0"/>
          <w:marTop w:val="0"/>
          <w:marBottom w:val="0"/>
          <w:divBdr>
            <w:top w:val="none" w:sz="0" w:space="0" w:color="auto"/>
            <w:left w:val="none" w:sz="0" w:space="0" w:color="auto"/>
            <w:bottom w:val="none" w:sz="0" w:space="0" w:color="auto"/>
            <w:right w:val="none" w:sz="0" w:space="0" w:color="auto"/>
          </w:divBdr>
          <w:divsChild>
            <w:div w:id="131409862">
              <w:marLeft w:val="0"/>
              <w:marRight w:val="0"/>
              <w:marTop w:val="0"/>
              <w:marBottom w:val="0"/>
              <w:divBdr>
                <w:top w:val="none" w:sz="0" w:space="0" w:color="auto"/>
                <w:left w:val="none" w:sz="0" w:space="0" w:color="auto"/>
                <w:bottom w:val="none" w:sz="0" w:space="0" w:color="auto"/>
                <w:right w:val="none" w:sz="0" w:space="0" w:color="auto"/>
              </w:divBdr>
            </w:div>
            <w:div w:id="225142342">
              <w:marLeft w:val="0"/>
              <w:marRight w:val="0"/>
              <w:marTop w:val="0"/>
              <w:marBottom w:val="0"/>
              <w:divBdr>
                <w:top w:val="none" w:sz="0" w:space="0" w:color="auto"/>
                <w:left w:val="none" w:sz="0" w:space="0" w:color="auto"/>
                <w:bottom w:val="none" w:sz="0" w:space="0" w:color="auto"/>
                <w:right w:val="none" w:sz="0" w:space="0" w:color="auto"/>
              </w:divBdr>
            </w:div>
            <w:div w:id="254244525">
              <w:marLeft w:val="0"/>
              <w:marRight w:val="0"/>
              <w:marTop w:val="0"/>
              <w:marBottom w:val="0"/>
              <w:divBdr>
                <w:top w:val="none" w:sz="0" w:space="0" w:color="auto"/>
                <w:left w:val="none" w:sz="0" w:space="0" w:color="auto"/>
                <w:bottom w:val="none" w:sz="0" w:space="0" w:color="auto"/>
                <w:right w:val="none" w:sz="0" w:space="0" w:color="auto"/>
              </w:divBdr>
            </w:div>
            <w:div w:id="279843461">
              <w:marLeft w:val="0"/>
              <w:marRight w:val="0"/>
              <w:marTop w:val="0"/>
              <w:marBottom w:val="0"/>
              <w:divBdr>
                <w:top w:val="none" w:sz="0" w:space="0" w:color="auto"/>
                <w:left w:val="none" w:sz="0" w:space="0" w:color="auto"/>
                <w:bottom w:val="none" w:sz="0" w:space="0" w:color="auto"/>
                <w:right w:val="none" w:sz="0" w:space="0" w:color="auto"/>
              </w:divBdr>
            </w:div>
            <w:div w:id="492255812">
              <w:marLeft w:val="0"/>
              <w:marRight w:val="0"/>
              <w:marTop w:val="0"/>
              <w:marBottom w:val="0"/>
              <w:divBdr>
                <w:top w:val="none" w:sz="0" w:space="0" w:color="auto"/>
                <w:left w:val="none" w:sz="0" w:space="0" w:color="auto"/>
                <w:bottom w:val="none" w:sz="0" w:space="0" w:color="auto"/>
                <w:right w:val="none" w:sz="0" w:space="0" w:color="auto"/>
              </w:divBdr>
            </w:div>
            <w:div w:id="629290940">
              <w:marLeft w:val="0"/>
              <w:marRight w:val="0"/>
              <w:marTop w:val="0"/>
              <w:marBottom w:val="0"/>
              <w:divBdr>
                <w:top w:val="none" w:sz="0" w:space="0" w:color="auto"/>
                <w:left w:val="none" w:sz="0" w:space="0" w:color="auto"/>
                <w:bottom w:val="none" w:sz="0" w:space="0" w:color="auto"/>
                <w:right w:val="none" w:sz="0" w:space="0" w:color="auto"/>
              </w:divBdr>
            </w:div>
            <w:div w:id="735933810">
              <w:marLeft w:val="0"/>
              <w:marRight w:val="0"/>
              <w:marTop w:val="0"/>
              <w:marBottom w:val="0"/>
              <w:divBdr>
                <w:top w:val="none" w:sz="0" w:space="0" w:color="auto"/>
                <w:left w:val="none" w:sz="0" w:space="0" w:color="auto"/>
                <w:bottom w:val="none" w:sz="0" w:space="0" w:color="auto"/>
                <w:right w:val="none" w:sz="0" w:space="0" w:color="auto"/>
              </w:divBdr>
            </w:div>
            <w:div w:id="892040634">
              <w:marLeft w:val="0"/>
              <w:marRight w:val="0"/>
              <w:marTop w:val="0"/>
              <w:marBottom w:val="0"/>
              <w:divBdr>
                <w:top w:val="none" w:sz="0" w:space="0" w:color="auto"/>
                <w:left w:val="none" w:sz="0" w:space="0" w:color="auto"/>
                <w:bottom w:val="none" w:sz="0" w:space="0" w:color="auto"/>
                <w:right w:val="none" w:sz="0" w:space="0" w:color="auto"/>
              </w:divBdr>
            </w:div>
            <w:div w:id="895704045">
              <w:marLeft w:val="0"/>
              <w:marRight w:val="0"/>
              <w:marTop w:val="0"/>
              <w:marBottom w:val="0"/>
              <w:divBdr>
                <w:top w:val="none" w:sz="0" w:space="0" w:color="auto"/>
                <w:left w:val="none" w:sz="0" w:space="0" w:color="auto"/>
                <w:bottom w:val="none" w:sz="0" w:space="0" w:color="auto"/>
                <w:right w:val="none" w:sz="0" w:space="0" w:color="auto"/>
              </w:divBdr>
            </w:div>
            <w:div w:id="1221132410">
              <w:marLeft w:val="0"/>
              <w:marRight w:val="0"/>
              <w:marTop w:val="0"/>
              <w:marBottom w:val="0"/>
              <w:divBdr>
                <w:top w:val="none" w:sz="0" w:space="0" w:color="auto"/>
                <w:left w:val="none" w:sz="0" w:space="0" w:color="auto"/>
                <w:bottom w:val="none" w:sz="0" w:space="0" w:color="auto"/>
                <w:right w:val="none" w:sz="0" w:space="0" w:color="auto"/>
              </w:divBdr>
            </w:div>
            <w:div w:id="1273434436">
              <w:marLeft w:val="0"/>
              <w:marRight w:val="0"/>
              <w:marTop w:val="0"/>
              <w:marBottom w:val="0"/>
              <w:divBdr>
                <w:top w:val="none" w:sz="0" w:space="0" w:color="auto"/>
                <w:left w:val="none" w:sz="0" w:space="0" w:color="auto"/>
                <w:bottom w:val="none" w:sz="0" w:space="0" w:color="auto"/>
                <w:right w:val="none" w:sz="0" w:space="0" w:color="auto"/>
              </w:divBdr>
            </w:div>
            <w:div w:id="1414859299">
              <w:marLeft w:val="0"/>
              <w:marRight w:val="0"/>
              <w:marTop w:val="0"/>
              <w:marBottom w:val="0"/>
              <w:divBdr>
                <w:top w:val="none" w:sz="0" w:space="0" w:color="auto"/>
                <w:left w:val="none" w:sz="0" w:space="0" w:color="auto"/>
                <w:bottom w:val="none" w:sz="0" w:space="0" w:color="auto"/>
                <w:right w:val="none" w:sz="0" w:space="0" w:color="auto"/>
              </w:divBdr>
            </w:div>
            <w:div w:id="1516262336">
              <w:marLeft w:val="0"/>
              <w:marRight w:val="0"/>
              <w:marTop w:val="0"/>
              <w:marBottom w:val="0"/>
              <w:divBdr>
                <w:top w:val="none" w:sz="0" w:space="0" w:color="auto"/>
                <w:left w:val="none" w:sz="0" w:space="0" w:color="auto"/>
                <w:bottom w:val="none" w:sz="0" w:space="0" w:color="auto"/>
                <w:right w:val="none" w:sz="0" w:space="0" w:color="auto"/>
              </w:divBdr>
            </w:div>
            <w:div w:id="1519729912">
              <w:marLeft w:val="0"/>
              <w:marRight w:val="0"/>
              <w:marTop w:val="0"/>
              <w:marBottom w:val="0"/>
              <w:divBdr>
                <w:top w:val="none" w:sz="0" w:space="0" w:color="auto"/>
                <w:left w:val="none" w:sz="0" w:space="0" w:color="auto"/>
                <w:bottom w:val="none" w:sz="0" w:space="0" w:color="auto"/>
                <w:right w:val="none" w:sz="0" w:space="0" w:color="auto"/>
              </w:divBdr>
            </w:div>
            <w:div w:id="1579510693">
              <w:marLeft w:val="0"/>
              <w:marRight w:val="0"/>
              <w:marTop w:val="0"/>
              <w:marBottom w:val="0"/>
              <w:divBdr>
                <w:top w:val="none" w:sz="0" w:space="0" w:color="auto"/>
                <w:left w:val="none" w:sz="0" w:space="0" w:color="auto"/>
                <w:bottom w:val="none" w:sz="0" w:space="0" w:color="auto"/>
                <w:right w:val="none" w:sz="0" w:space="0" w:color="auto"/>
              </w:divBdr>
            </w:div>
            <w:div w:id="1679843686">
              <w:marLeft w:val="0"/>
              <w:marRight w:val="0"/>
              <w:marTop w:val="0"/>
              <w:marBottom w:val="0"/>
              <w:divBdr>
                <w:top w:val="none" w:sz="0" w:space="0" w:color="auto"/>
                <w:left w:val="none" w:sz="0" w:space="0" w:color="auto"/>
                <w:bottom w:val="none" w:sz="0" w:space="0" w:color="auto"/>
                <w:right w:val="none" w:sz="0" w:space="0" w:color="auto"/>
              </w:divBdr>
            </w:div>
            <w:div w:id="1797799539">
              <w:marLeft w:val="0"/>
              <w:marRight w:val="0"/>
              <w:marTop w:val="0"/>
              <w:marBottom w:val="0"/>
              <w:divBdr>
                <w:top w:val="none" w:sz="0" w:space="0" w:color="auto"/>
                <w:left w:val="none" w:sz="0" w:space="0" w:color="auto"/>
                <w:bottom w:val="none" w:sz="0" w:space="0" w:color="auto"/>
                <w:right w:val="none" w:sz="0" w:space="0" w:color="auto"/>
              </w:divBdr>
            </w:div>
            <w:div w:id="1887175206">
              <w:marLeft w:val="0"/>
              <w:marRight w:val="0"/>
              <w:marTop w:val="0"/>
              <w:marBottom w:val="0"/>
              <w:divBdr>
                <w:top w:val="none" w:sz="0" w:space="0" w:color="auto"/>
                <w:left w:val="none" w:sz="0" w:space="0" w:color="auto"/>
                <w:bottom w:val="none" w:sz="0" w:space="0" w:color="auto"/>
                <w:right w:val="none" w:sz="0" w:space="0" w:color="auto"/>
              </w:divBdr>
            </w:div>
            <w:div w:id="1982536475">
              <w:marLeft w:val="0"/>
              <w:marRight w:val="0"/>
              <w:marTop w:val="0"/>
              <w:marBottom w:val="0"/>
              <w:divBdr>
                <w:top w:val="none" w:sz="0" w:space="0" w:color="auto"/>
                <w:left w:val="none" w:sz="0" w:space="0" w:color="auto"/>
                <w:bottom w:val="none" w:sz="0" w:space="0" w:color="auto"/>
                <w:right w:val="none" w:sz="0" w:space="0" w:color="auto"/>
              </w:divBdr>
            </w:div>
            <w:div w:id="2036495728">
              <w:marLeft w:val="0"/>
              <w:marRight w:val="0"/>
              <w:marTop w:val="0"/>
              <w:marBottom w:val="0"/>
              <w:divBdr>
                <w:top w:val="none" w:sz="0" w:space="0" w:color="auto"/>
                <w:left w:val="none" w:sz="0" w:space="0" w:color="auto"/>
                <w:bottom w:val="none" w:sz="0" w:space="0" w:color="auto"/>
                <w:right w:val="none" w:sz="0" w:space="0" w:color="auto"/>
              </w:divBdr>
            </w:div>
          </w:divsChild>
        </w:div>
        <w:div w:id="1859930074">
          <w:marLeft w:val="0"/>
          <w:marRight w:val="0"/>
          <w:marTop w:val="0"/>
          <w:marBottom w:val="0"/>
          <w:divBdr>
            <w:top w:val="none" w:sz="0" w:space="0" w:color="auto"/>
            <w:left w:val="none" w:sz="0" w:space="0" w:color="auto"/>
            <w:bottom w:val="none" w:sz="0" w:space="0" w:color="auto"/>
            <w:right w:val="none" w:sz="0" w:space="0" w:color="auto"/>
          </w:divBdr>
          <w:divsChild>
            <w:div w:id="67654729">
              <w:marLeft w:val="0"/>
              <w:marRight w:val="0"/>
              <w:marTop w:val="0"/>
              <w:marBottom w:val="0"/>
              <w:divBdr>
                <w:top w:val="none" w:sz="0" w:space="0" w:color="auto"/>
                <w:left w:val="none" w:sz="0" w:space="0" w:color="auto"/>
                <w:bottom w:val="none" w:sz="0" w:space="0" w:color="auto"/>
                <w:right w:val="none" w:sz="0" w:space="0" w:color="auto"/>
              </w:divBdr>
            </w:div>
            <w:div w:id="156262901">
              <w:marLeft w:val="0"/>
              <w:marRight w:val="0"/>
              <w:marTop w:val="0"/>
              <w:marBottom w:val="0"/>
              <w:divBdr>
                <w:top w:val="none" w:sz="0" w:space="0" w:color="auto"/>
                <w:left w:val="none" w:sz="0" w:space="0" w:color="auto"/>
                <w:bottom w:val="none" w:sz="0" w:space="0" w:color="auto"/>
                <w:right w:val="none" w:sz="0" w:space="0" w:color="auto"/>
              </w:divBdr>
            </w:div>
            <w:div w:id="239799910">
              <w:marLeft w:val="0"/>
              <w:marRight w:val="0"/>
              <w:marTop w:val="0"/>
              <w:marBottom w:val="0"/>
              <w:divBdr>
                <w:top w:val="none" w:sz="0" w:space="0" w:color="auto"/>
                <w:left w:val="none" w:sz="0" w:space="0" w:color="auto"/>
                <w:bottom w:val="none" w:sz="0" w:space="0" w:color="auto"/>
                <w:right w:val="none" w:sz="0" w:space="0" w:color="auto"/>
              </w:divBdr>
            </w:div>
            <w:div w:id="276107242">
              <w:marLeft w:val="0"/>
              <w:marRight w:val="0"/>
              <w:marTop w:val="0"/>
              <w:marBottom w:val="0"/>
              <w:divBdr>
                <w:top w:val="none" w:sz="0" w:space="0" w:color="auto"/>
                <w:left w:val="none" w:sz="0" w:space="0" w:color="auto"/>
                <w:bottom w:val="none" w:sz="0" w:space="0" w:color="auto"/>
                <w:right w:val="none" w:sz="0" w:space="0" w:color="auto"/>
              </w:divBdr>
            </w:div>
            <w:div w:id="328557077">
              <w:marLeft w:val="0"/>
              <w:marRight w:val="0"/>
              <w:marTop w:val="0"/>
              <w:marBottom w:val="0"/>
              <w:divBdr>
                <w:top w:val="none" w:sz="0" w:space="0" w:color="auto"/>
                <w:left w:val="none" w:sz="0" w:space="0" w:color="auto"/>
                <w:bottom w:val="none" w:sz="0" w:space="0" w:color="auto"/>
                <w:right w:val="none" w:sz="0" w:space="0" w:color="auto"/>
              </w:divBdr>
            </w:div>
            <w:div w:id="526255449">
              <w:marLeft w:val="0"/>
              <w:marRight w:val="0"/>
              <w:marTop w:val="0"/>
              <w:marBottom w:val="0"/>
              <w:divBdr>
                <w:top w:val="none" w:sz="0" w:space="0" w:color="auto"/>
                <w:left w:val="none" w:sz="0" w:space="0" w:color="auto"/>
                <w:bottom w:val="none" w:sz="0" w:space="0" w:color="auto"/>
                <w:right w:val="none" w:sz="0" w:space="0" w:color="auto"/>
              </w:divBdr>
            </w:div>
            <w:div w:id="547030825">
              <w:marLeft w:val="0"/>
              <w:marRight w:val="0"/>
              <w:marTop w:val="0"/>
              <w:marBottom w:val="0"/>
              <w:divBdr>
                <w:top w:val="none" w:sz="0" w:space="0" w:color="auto"/>
                <w:left w:val="none" w:sz="0" w:space="0" w:color="auto"/>
                <w:bottom w:val="none" w:sz="0" w:space="0" w:color="auto"/>
                <w:right w:val="none" w:sz="0" w:space="0" w:color="auto"/>
              </w:divBdr>
            </w:div>
            <w:div w:id="550727781">
              <w:marLeft w:val="0"/>
              <w:marRight w:val="0"/>
              <w:marTop w:val="0"/>
              <w:marBottom w:val="0"/>
              <w:divBdr>
                <w:top w:val="none" w:sz="0" w:space="0" w:color="auto"/>
                <w:left w:val="none" w:sz="0" w:space="0" w:color="auto"/>
                <w:bottom w:val="none" w:sz="0" w:space="0" w:color="auto"/>
                <w:right w:val="none" w:sz="0" w:space="0" w:color="auto"/>
              </w:divBdr>
            </w:div>
            <w:div w:id="552666030">
              <w:marLeft w:val="0"/>
              <w:marRight w:val="0"/>
              <w:marTop w:val="0"/>
              <w:marBottom w:val="0"/>
              <w:divBdr>
                <w:top w:val="none" w:sz="0" w:space="0" w:color="auto"/>
                <w:left w:val="none" w:sz="0" w:space="0" w:color="auto"/>
                <w:bottom w:val="none" w:sz="0" w:space="0" w:color="auto"/>
                <w:right w:val="none" w:sz="0" w:space="0" w:color="auto"/>
              </w:divBdr>
            </w:div>
            <w:div w:id="628318332">
              <w:marLeft w:val="0"/>
              <w:marRight w:val="0"/>
              <w:marTop w:val="0"/>
              <w:marBottom w:val="0"/>
              <w:divBdr>
                <w:top w:val="none" w:sz="0" w:space="0" w:color="auto"/>
                <w:left w:val="none" w:sz="0" w:space="0" w:color="auto"/>
                <w:bottom w:val="none" w:sz="0" w:space="0" w:color="auto"/>
                <w:right w:val="none" w:sz="0" w:space="0" w:color="auto"/>
              </w:divBdr>
            </w:div>
            <w:div w:id="736779258">
              <w:marLeft w:val="0"/>
              <w:marRight w:val="0"/>
              <w:marTop w:val="0"/>
              <w:marBottom w:val="0"/>
              <w:divBdr>
                <w:top w:val="none" w:sz="0" w:space="0" w:color="auto"/>
                <w:left w:val="none" w:sz="0" w:space="0" w:color="auto"/>
                <w:bottom w:val="none" w:sz="0" w:space="0" w:color="auto"/>
                <w:right w:val="none" w:sz="0" w:space="0" w:color="auto"/>
              </w:divBdr>
            </w:div>
            <w:div w:id="1127239137">
              <w:marLeft w:val="0"/>
              <w:marRight w:val="0"/>
              <w:marTop w:val="0"/>
              <w:marBottom w:val="0"/>
              <w:divBdr>
                <w:top w:val="none" w:sz="0" w:space="0" w:color="auto"/>
                <w:left w:val="none" w:sz="0" w:space="0" w:color="auto"/>
                <w:bottom w:val="none" w:sz="0" w:space="0" w:color="auto"/>
                <w:right w:val="none" w:sz="0" w:space="0" w:color="auto"/>
              </w:divBdr>
            </w:div>
            <w:div w:id="1202669287">
              <w:marLeft w:val="0"/>
              <w:marRight w:val="0"/>
              <w:marTop w:val="0"/>
              <w:marBottom w:val="0"/>
              <w:divBdr>
                <w:top w:val="none" w:sz="0" w:space="0" w:color="auto"/>
                <w:left w:val="none" w:sz="0" w:space="0" w:color="auto"/>
                <w:bottom w:val="none" w:sz="0" w:space="0" w:color="auto"/>
                <w:right w:val="none" w:sz="0" w:space="0" w:color="auto"/>
              </w:divBdr>
            </w:div>
            <w:div w:id="1207915179">
              <w:marLeft w:val="0"/>
              <w:marRight w:val="0"/>
              <w:marTop w:val="0"/>
              <w:marBottom w:val="0"/>
              <w:divBdr>
                <w:top w:val="none" w:sz="0" w:space="0" w:color="auto"/>
                <w:left w:val="none" w:sz="0" w:space="0" w:color="auto"/>
                <w:bottom w:val="none" w:sz="0" w:space="0" w:color="auto"/>
                <w:right w:val="none" w:sz="0" w:space="0" w:color="auto"/>
              </w:divBdr>
            </w:div>
            <w:div w:id="1223445073">
              <w:marLeft w:val="0"/>
              <w:marRight w:val="0"/>
              <w:marTop w:val="0"/>
              <w:marBottom w:val="0"/>
              <w:divBdr>
                <w:top w:val="none" w:sz="0" w:space="0" w:color="auto"/>
                <w:left w:val="none" w:sz="0" w:space="0" w:color="auto"/>
                <w:bottom w:val="none" w:sz="0" w:space="0" w:color="auto"/>
                <w:right w:val="none" w:sz="0" w:space="0" w:color="auto"/>
              </w:divBdr>
            </w:div>
            <w:div w:id="1297102186">
              <w:marLeft w:val="0"/>
              <w:marRight w:val="0"/>
              <w:marTop w:val="0"/>
              <w:marBottom w:val="0"/>
              <w:divBdr>
                <w:top w:val="none" w:sz="0" w:space="0" w:color="auto"/>
                <w:left w:val="none" w:sz="0" w:space="0" w:color="auto"/>
                <w:bottom w:val="none" w:sz="0" w:space="0" w:color="auto"/>
                <w:right w:val="none" w:sz="0" w:space="0" w:color="auto"/>
              </w:divBdr>
            </w:div>
            <w:div w:id="1315917136">
              <w:marLeft w:val="0"/>
              <w:marRight w:val="0"/>
              <w:marTop w:val="0"/>
              <w:marBottom w:val="0"/>
              <w:divBdr>
                <w:top w:val="none" w:sz="0" w:space="0" w:color="auto"/>
                <w:left w:val="none" w:sz="0" w:space="0" w:color="auto"/>
                <w:bottom w:val="none" w:sz="0" w:space="0" w:color="auto"/>
                <w:right w:val="none" w:sz="0" w:space="0" w:color="auto"/>
              </w:divBdr>
            </w:div>
            <w:div w:id="1444498276">
              <w:marLeft w:val="0"/>
              <w:marRight w:val="0"/>
              <w:marTop w:val="0"/>
              <w:marBottom w:val="0"/>
              <w:divBdr>
                <w:top w:val="none" w:sz="0" w:space="0" w:color="auto"/>
                <w:left w:val="none" w:sz="0" w:space="0" w:color="auto"/>
                <w:bottom w:val="none" w:sz="0" w:space="0" w:color="auto"/>
                <w:right w:val="none" w:sz="0" w:space="0" w:color="auto"/>
              </w:divBdr>
            </w:div>
            <w:div w:id="1459687380">
              <w:marLeft w:val="0"/>
              <w:marRight w:val="0"/>
              <w:marTop w:val="0"/>
              <w:marBottom w:val="0"/>
              <w:divBdr>
                <w:top w:val="none" w:sz="0" w:space="0" w:color="auto"/>
                <w:left w:val="none" w:sz="0" w:space="0" w:color="auto"/>
                <w:bottom w:val="none" w:sz="0" w:space="0" w:color="auto"/>
                <w:right w:val="none" w:sz="0" w:space="0" w:color="auto"/>
              </w:divBdr>
            </w:div>
            <w:div w:id="19187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XPJTHXDMYTKC-1148532594-24154</_dlc_DocId>
    <_dlc_DocIdUrl xmlns="4737b361-35a6-4908-86d4-6df482422a04">
      <Url>https://014gc.sharepoint.com/sites/LO_PartieVII-PartVII_OL/_layouts/15/DocIdRedir.aspx?ID=XPJTHXDMYTKC-1148532594-24154</Url>
      <Description>XPJTHXDMYTKC-1148532594-24154</Description>
    </_dlc_DocIdUrl>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077C91CE-B26A-4129-A7A1-998E0D051A8A}">
  <ds:schemaRefs>
    <ds:schemaRef ds:uri="http://schemas.microsoft.com/sharepoint/events"/>
  </ds:schemaRefs>
</ds:datastoreItem>
</file>

<file path=customXml/itemProps2.xml><?xml version="1.0" encoding="utf-8"?>
<ds:datastoreItem xmlns:ds="http://schemas.openxmlformats.org/officeDocument/2006/customXml" ds:itemID="{C8B1890F-966C-4A12-9952-B4177F480753}">
  <ds:schemaRefs>
    <ds:schemaRef ds:uri="http://schemas.microsoft.com/sharepoint/v3/contenttype/forms"/>
  </ds:schemaRefs>
</ds:datastoreItem>
</file>

<file path=customXml/itemProps3.xml><?xml version="1.0" encoding="utf-8"?>
<ds:datastoreItem xmlns:ds="http://schemas.openxmlformats.org/officeDocument/2006/customXml" ds:itemID="{47440A60-9CDA-4DE1-8450-80E3085777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058B6-10E2-4C70-AB5B-02359857543B}">
  <ds:schemaRefs>
    <ds:schemaRef ds:uri="http://schemas.microsoft.com/office/2006/metadata/properties"/>
    <ds:schemaRef ds:uri="http://schemas.microsoft.com/office/infopath/2007/PartnerControls"/>
    <ds:schemaRef ds:uri="f76aaf80-9812-406c-9dd3-ccb851cf3a75"/>
    <ds:schemaRef ds:uri="bec98ab0-c939-49a1-bdf8-a824b6abe8d9"/>
    <ds:schemaRef ds:uri="4737b361-35a6-4908-86d4-6df482422a0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644</Words>
  <Characters>4031</Characters>
  <Application>Microsoft Office Word</Application>
  <DocSecurity>0</DocSecurity>
  <Lines>89</Lines>
  <Paragraphs>34</Paragraphs>
  <ScaleCrop>false</ScaleCrop>
  <Company>Gouvernement du Canada - Government of Canada</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 2025 NHQ 002002 IPPD INPUT - Annex A Interdepartmental Coordination-APPROVED</dc:title>
  <dc:subject/>
  <dc:creator>Plourde, Josee J [NC]</dc:creator>
  <cp:keywords/>
  <dc:description/>
  <cp:lastModifiedBy>Maxwell-Campagna, Katia KM [NC]</cp:lastModifiedBy>
  <cp:revision>225</cp:revision>
  <dcterms:created xsi:type="dcterms:W3CDTF">2025-10-15T00:51:00Z</dcterms:created>
  <dcterms:modified xsi:type="dcterms:W3CDTF">2025-11-04T16:30:00Z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55926255-bb2d-4514-b000-9b4c40d40e33</vt:lpwstr>
  </property>
  <property fmtid="{D5CDD505-2E9C-101B-9397-08002B2CF9AE}" pid="4" name="MediaServiceImageTags">
    <vt:lpwstr/>
  </property>
  <property fmtid="{D5CDD505-2E9C-101B-9397-08002B2CF9AE}" pid="5" name="Order">
    <vt:r8>2408400</vt:r8>
  </property>
</Properties>
</file>